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61.png" ContentType="image/png"/>
  <Override PartName="/word/media/rId65.png" ContentType="image/png"/>
  <Override PartName="/word/media/rId83.png" ContentType="image/png"/>
  <Override PartName="/word/media/rId100.png" ContentType="image/png"/>
  <Override PartName="/word/media/rId57.png" ContentType="image/png"/>
  <Override PartName="/word/media/rId79.png" ContentType="image/png"/>
  <Override PartName="/word/media/rId96.png" ContentType="image/png"/>
  <Override PartName="/word/media/rId21.svg" ContentType="image/svg+xml"/>
  <Override PartName="/word/media/rId173.png" ContentType="image/png"/>
  <Override PartName="/word/media/rId41.png" ContentType="image/png"/>
  <Override PartName="/word/media/rId177.png" ContentType="image/png"/>
  <Override PartName="/word/media/rId51.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t xml:space="preserve"> </w:t>
      </w:r>
    </w:p>
    <w:p>
      <w:pPr>
        <w:pStyle w:val="BodyText"/>
      </w:pPr>
      <w:r>
        <w:t xml:space="preserve"> </w:t>
      </w:r>
    </w:p>
    <w:bookmarkStart w:id="20" w:name="title"/>
    <w:p>
      <w:pPr>
        <w:pStyle w:val="Heading1"/>
      </w:pPr>
      <w:r>
        <w:t xml:space="preserve">Effects of expected and unexpected uncertainty on cue processing</w:t>
      </w:r>
    </w:p>
    <w:p>
      <w:pPr>
        <w:pStyle w:val="Author"/>
      </w:pPr>
      <w:r>
        <w:t xml:space="preserve"> </w:t>
      </w:r>
    </w:p>
    <w:p>
      <w:pPr>
        <w:pStyle w:val="Author"/>
      </w:pPr>
      <w:r>
        <w:t xml:space="preserve">Clara Muñiz-Diez</w:t>
      </w:r>
      <w:r>
        <w:rPr>
          <w:vertAlign w:val="superscript"/>
        </w:rPr>
        <w:t xml:space="preserve">1</w:t>
      </w:r>
      <w:r>
        <w:t xml:space="preserve">, Sandra Lagator</w:t>
      </w:r>
      <w:r>
        <w:rPr>
          <w:vertAlign w:val="superscript"/>
        </w:rPr>
        <w:t xml:space="preserve">2</w:t>
      </w:r>
      <w:r>
        <w:t xml:space="preserve">, Mark Haselgrove</w:t>
      </w:r>
      <w:r>
        <w:rPr>
          <w:vertAlign w:val="superscript"/>
        </w:rPr>
        <w:t xml:space="preserve">2</w:t>
      </w:r>
      <w:r>
        <w:t xml:space="preserve">, and Tom Beesley</w:t>
      </w:r>
      <w:r>
        <w:rPr>
          <w:vertAlign w:val="superscript"/>
        </w:rPr>
        <w:t xml:space="preserve">1</w:t>
      </w:r>
    </w:p>
    <w:p>
      <w:pPr>
        <w:pStyle w:val="Author"/>
      </w:pPr>
      <w:r>
        <w:rPr>
          <w:vertAlign w:val="superscript"/>
        </w:rPr>
        <w:t xml:space="preserve">1</w:t>
      </w:r>
      <w:r>
        <w:t xml:space="preserve">Department of Psychology, Lancaster University</w:t>
      </w:r>
    </w:p>
    <w:p>
      <w:pPr>
        <w:pStyle w:val="Author"/>
      </w:pPr>
      <w:r>
        <w:rPr>
          <w:vertAlign w:val="superscript"/>
        </w:rPr>
        <w:t xml:space="preserve">2</w:t>
      </w:r>
      <w:r>
        <w:t xml:space="preserve">School of Psychology, The University of Nottingham</w:t>
      </w:r>
    </w:p>
    <w:p>
      <w:pPr>
        <w:pStyle w:val="BodyText"/>
      </w:pPr>
      <w:r>
        <w:t xml:space="preserve"> </w:t>
      </w:r>
    </w:p>
    <w:p>
      <w:pPr>
        <w:pStyle w:val="BodyText"/>
      </w:pPr>
      <w:r>
        <w:t xml:space="preserve"> </w:t>
      </w:r>
    </w:p>
    <w:bookmarkEnd w:id="20"/>
    <w:bookmarkStart w:id="34" w:name="author-note"/>
    <w:p>
      <w:pPr>
        <w:pStyle w:val="Heading1"/>
      </w:pPr>
      <w:r>
        <w:t xml:space="preserve">Author Note</w:t>
      </w:r>
    </w:p>
    <w:p>
      <w:pPr>
        <w:pStyle w:val="FirstParagraph"/>
      </w:pPr>
      <w:r>
        <w:t xml:space="preserve">Clara Muñiz-Diez</w:t>
      </w:r>
      <w:r>
        <w:t xml:space="preserve"> </w:t>
      </w:r>
      <w:bookmarkStart w:id="24" w:name="orchid"/>
      <w:r>
        <w:drawing>
          <wp:inline>
            <wp:extent cx="152400" cy="152400"/>
            <wp:effectExtent b="0" l="0" r="0" t="0"/>
            <wp:docPr descr="Orcid ID Logo: A green circle with white letters ID" title="" id="22" name="Picture"/>
            <a:graphic>
              <a:graphicData uri="http://schemas.openxmlformats.org/drawingml/2006/picture">
                <pic:pic>
                  <pic:nvPicPr>
                    <pic:cNvPr descr="_extensions/wjschne/apaquarto/ORCID-iD_icon-vector.svg" id="23"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4"/>
      <w:r>
        <w:t xml:space="preserve"> </w:t>
      </w:r>
      <w:r>
        <w:t xml:space="preserve">http://orcid.org/0000-0001-5192-0462</w:t>
      </w:r>
    </w:p>
    <w:p>
      <w:pPr>
        <w:pStyle w:val="BodyText"/>
      </w:pPr>
      <w:r>
        <w:t xml:space="preserve">Sandra Lagator</w:t>
      </w:r>
      <w:r>
        <w:t xml:space="preserve"> </w:t>
      </w:r>
      <w:bookmarkStart w:id="27" w:name="orchid"/>
      <w:r>
        <w:drawing>
          <wp:inline>
            <wp:extent cx="152400" cy="152400"/>
            <wp:effectExtent b="0" l="0" r="0" t="0"/>
            <wp:docPr descr="Orcid ID Logo: A green circle with white letters ID" title="" id="25" name="Picture"/>
            <a:graphic>
              <a:graphicData uri="http://schemas.openxmlformats.org/drawingml/2006/picture">
                <pic:pic>
                  <pic:nvPicPr>
                    <pic:cNvPr descr="_extensions/wjschne/apaquarto/ORCID-iD_icon-vector.svg" id="26"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7"/>
      <w:r>
        <w:t xml:space="preserve"> </w:t>
      </w:r>
      <w:r>
        <w:t xml:space="preserve">http://orcid.org/0000-0001-6060-2941</w:t>
      </w:r>
    </w:p>
    <w:p>
      <w:pPr>
        <w:pStyle w:val="BodyText"/>
      </w:pPr>
      <w:r>
        <w:t xml:space="preserve">Mark Haselgrove</w:t>
      </w:r>
      <w:r>
        <w:t xml:space="preserve"> </w:t>
      </w:r>
      <w:bookmarkStart w:id="30" w:name="orchid"/>
      <w:r>
        <w:drawing>
          <wp:inline>
            <wp:extent cx="152400" cy="152400"/>
            <wp:effectExtent b="0" l="0" r="0" t="0"/>
            <wp:docPr descr="Orcid ID Logo: A green circle with white letters ID" title="" id="28" name="Picture"/>
            <a:graphic>
              <a:graphicData uri="http://schemas.openxmlformats.org/drawingml/2006/picture">
                <pic:pic>
                  <pic:nvPicPr>
                    <pic:cNvPr descr="_extensions/wjschne/apaquarto/ORCID-iD_icon-vector.svg" id="29"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0"/>
      <w:r>
        <w:t xml:space="preserve"> </w:t>
      </w:r>
      <w:r>
        <w:t xml:space="preserve">http://orcid.org/0000-0001-8981-1181</w:t>
      </w:r>
    </w:p>
    <w:p>
      <w:pPr>
        <w:pStyle w:val="BodyText"/>
      </w:pPr>
      <w:r>
        <w:t xml:space="preserve">Tom Beesley</w:t>
      </w:r>
      <w:r>
        <w:t xml:space="preserve"> </w:t>
      </w:r>
      <w:bookmarkStart w:id="33" w:name="orchid"/>
      <w:r>
        <w:drawing>
          <wp:inline>
            <wp:extent cx="152400" cy="152400"/>
            <wp:effectExtent b="0" l="0" r="0" t="0"/>
            <wp:docPr descr="Orcid ID Logo: A green circle with white letters ID" title="" id="31" name="Picture"/>
            <a:graphic>
              <a:graphicData uri="http://schemas.openxmlformats.org/drawingml/2006/picture">
                <pic:pic>
                  <pic:nvPicPr>
                    <pic:cNvPr descr="_extensions/wjschne/apaquarto/ORCID-iD_icon-vector.svg" id="32" name="Picture"/>
                    <pic:cNvPicPr>
                      <a:picLocks noChangeArrowheads="1" noChangeAspect="1"/>
                    </pic:cNvPicPr>
                  </pic:nvPicPr>
                  <pic:blipFill>
                    <a:blip>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33"/>
      <w:r>
        <w:t xml:space="preserve"> </w:t>
      </w:r>
      <w:r>
        <w:t xml:space="preserve">http://orcid.org/0000-0003-2836-2743</w:t>
      </w:r>
    </w:p>
    <w:p>
      <w:pPr>
        <w:pStyle w:val="BodyText"/>
      </w:pPr>
      <w:r>
        <w:t xml:space="preserve">Correspondence concerning this article should be addressed to Clara Muñiz-Diez, Department of Psychology, Lancaster University, Lancaster, UK, Email: c.muniz-diez@lancaster.ac.uk</w:t>
      </w:r>
    </w:p>
    <w:p>
      <w:r>
        <w:br w:type="page"/>
      </w:r>
    </w:p>
    <w:bookmarkEnd w:id="34"/>
    <w:bookmarkStart w:id="35" w:name="abstract"/>
    <w:p>
      <w:pPr>
        <w:pStyle w:val="Heading1"/>
      </w:pPr>
      <w:r>
        <w:t xml:space="preserve">Abstract</w:t>
      </w:r>
    </w:p>
    <w:p>
      <w:pPr>
        <w:pStyle w:val="Abstract"/>
      </w:pPr>
      <w:r>
        <w:t xml:space="preserve">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pPr>
        <w:pStyle w:val="BodyText"/>
      </w:pPr>
      <w:r>
        <w:rPr>
          <w:iCs/>
          <w:i/>
        </w:rPr>
        <w:t xml:space="preserve">Keywords</w:t>
      </w:r>
      <w:r>
        <w:t xml:space="preserve">: Associative Learning, Attention, Uncertainty, Predictiveness, Cue processing</w:t>
      </w:r>
    </w:p>
    <w:p>
      <w:r>
        <w:br w:type="page"/>
      </w:r>
    </w:p>
    <w:bookmarkEnd w:id="35"/>
    <w:bookmarkStart w:id="37" w:name="firstheader"/>
    <w:p>
      <w:pPr>
        <w:pStyle w:val="Heading1"/>
      </w:pPr>
      <w:r>
        <w:t xml:space="preserve">Effects of expected and unexpected uncertainty on cue processing</w:t>
      </w:r>
    </w:p>
    <w:p>
      <w:pPr>
        <w:pStyle w:val="FirstParagraph"/>
      </w:pPr>
      <w:r>
        <w:t xml:space="preserve">One central feature of the cognition of humans and other animals is the ability to learn the predictive relationships between events in the world in order to anticipate future goals and modify behaviour accordingly. However, not all events that co-occur have predictive validity – illusory correlations are common;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w:t>
      </w:r>
      <w:r>
        <w:t xml:space="preserve"> </w:t>
      </w:r>
      <w:r>
        <w:t xml:space="preserve">(1972)</w:t>
      </w:r>
      <w:r>
        <w:t xml:space="preserve"> </w:t>
      </w:r>
      <w:r>
        <w:t xml:space="preserve">model, in which, the parameter</w:t>
      </w:r>
      <w:r>
        <w:t xml:space="preserve"> </w:t>
      </w:r>
      <m:oMath>
        <m:r>
          <m:t>α</m:t>
        </m:r>
      </m:oMath>
      <w:r>
        <w:t xml:space="preserve"> </w:t>
      </w:r>
      <w:r>
        <w:t xml:space="preserve">rerefers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w:t>
      </w:r>
      <w:r>
        <w:t xml:space="preserve"> </w:t>
      </w:r>
      <w:r>
        <w:t xml:space="preserve">(for a review, see Le Pelley et al., 2016)</w:t>
      </w:r>
      <w:r>
        <w:t xml:space="preserve">);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 advertising billboard) will not.</w:t>
      </w:r>
    </w:p>
    <w:p>
      <w:pPr>
        <w:pStyle w:val="BodyText"/>
      </w:pPr>
      <w:r>
        <w:t xml:space="preserve">There are two main ways in which learning can shape attention. The first is often referred to as the</w:t>
      </w:r>
      <w:r>
        <w:t xml:space="preserve"> </w:t>
      </w:r>
      <w:r>
        <w:rPr>
          <w:iCs/>
          <w:i/>
        </w:rPr>
        <w:t xml:space="preserve">predictiveness principle</w:t>
      </w:r>
      <w:r>
        <w:t xml:space="preserve">, according to which attention increases to stimuli that reliably signal the occurrence of an outcome</w:t>
      </w:r>
      <w:r>
        <w:t xml:space="preserve"> </w:t>
      </w:r>
      <w:r>
        <w:t xml:space="preserve">(e.g., Mackintosh, 1975; see also: Kruschke, 2001, 2003; Le Pelley, 2004)</w:t>
      </w:r>
      <w:r>
        <w:t xml:space="preserve">. It is thought that this mode of attention is advantageous as it allows for</w:t>
      </w:r>
      <w:r>
        <w:t xml:space="preserve"> </w:t>
      </w:r>
      <w:r>
        <w:rPr>
          <w:iCs/>
          <w:i/>
        </w:rPr>
        <w:t xml:space="preserve">exploitation</w:t>
      </w:r>
      <w:r>
        <w:t xml:space="preserve"> </w:t>
      </w:r>
      <w:r>
        <w:t xml:space="preserve">of reliable knowledge and allows animals to be prepared to make responses to stimuli with known consequences. A common method for studying this process in the lab is with the</w:t>
      </w:r>
      <w:r>
        <w:t xml:space="preserve"> </w:t>
      </w:r>
      <w:r>
        <w:t xml:space="preserve">“</w:t>
      </w:r>
      <w:r>
        <w:t xml:space="preserve">learned predictiveness</w:t>
      </w:r>
      <w:r>
        <w:t xml:space="preserve">”</w:t>
      </w:r>
      <w:r>
        <w:t xml:space="preserve"> </w:t>
      </w:r>
      <w:r>
        <w:t xml:space="preserve">design</w:t>
      </w:r>
      <w:r>
        <w:t xml:space="preserve"> </w:t>
      </w:r>
      <w:r>
        <w:t xml:space="preserve">(e.g., Le Pelley &amp; McLaren, 2003)</w:t>
      </w:r>
      <w:r>
        <w:t xml:space="preserve">. In this contingency learning procedure, cues are trained as differentially predictive of particular outcomes (e.g., various foods being differentially predictive of one kind of allergic reaction or another).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w:t>
      </w:r>
      <w:r>
        <w:t xml:space="preserve"> </w:t>
      </w:r>
      <w:r>
        <w:t xml:space="preserve">(e.g., Le Pelley &amp; McLaren, 2003)</w:t>
      </w:r>
      <w:r>
        <w:t xml:space="preserve"> </w:t>
      </w:r>
      <w:r>
        <w:t xml:space="preserve">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w:t>
      </w:r>
      <w:r>
        <w:t xml:space="preserve"> </w:t>
      </w:r>
      <w:r>
        <w:t xml:space="preserve">(Le Pelley et al., 2011)</w:t>
      </w:r>
      <w:r>
        <w:t xml:space="preserve">. The learned predictiveness effect has been extensively replicated and reproduced in studies of learning</w:t>
      </w:r>
      <w:r>
        <w:t xml:space="preserve"> </w:t>
      </w:r>
      <w:r>
        <w:t xml:space="preserve">(for a review, see: Le Pelley et al., 2016)</w:t>
      </w:r>
      <w:r>
        <w:t xml:space="preserve">.</w:t>
      </w:r>
    </w:p>
    <w:p>
      <w:pPr>
        <w:pStyle w:val="BodyText"/>
      </w:pPr>
      <w:r>
        <w:t xml:space="preserve">The second way in which learning can modify the attention paid to stimuli is the</w:t>
      </w:r>
      <w:r>
        <w:t xml:space="preserve"> </w:t>
      </w:r>
      <w:r>
        <w:rPr>
          <w:iCs/>
          <w:i/>
        </w:rPr>
        <w:t xml:space="preserve">uncertainty principle</w:t>
      </w:r>
      <w:r>
        <w:t xml:space="preserve"> </w:t>
      </w:r>
      <w:r>
        <w:t xml:space="preserve">(e.g., Pearce &amp; Hall, 1980; see also: Le Pelley et al., 2012; Schmajuk et al., 1996)</w:t>
      </w:r>
      <w:r>
        <w:t xml:space="preserve"> </w:t>
      </w:r>
      <w:r>
        <w:t xml:space="preserve">which states that more attention will be paid to cues which have an uncertain outcome. It is thought that this mode of attention is useful as it allows for the exploration of cues, whose predictive validity is uncertain, in order to discover relationships between these events. Griffiths et al.</w:t>
      </w:r>
      <w:r>
        <w:t xml:space="preserve"> </w:t>
      </w:r>
      <w:r>
        <w:t xml:space="preserve">(2011)</w:t>
      </w:r>
      <w:r>
        <w:t xml:space="preserve"> </w:t>
      </w:r>
      <w:r>
        <w:t xml:space="preserve">showed an instance of this principle using the</w:t>
      </w:r>
      <w:r>
        <w:t xml:space="preserve"> </w:t>
      </w:r>
      <w:r>
        <w:t xml:space="preserve">“</w:t>
      </w:r>
      <w:r>
        <w:t xml:space="preserve">negative transfer</w:t>
      </w:r>
      <w:r>
        <w:t xml:space="preserve">”</w:t>
      </w:r>
      <w:r>
        <w:t xml:space="preserve"> </w:t>
      </w:r>
      <w:r>
        <w:t xml:space="preserve">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in order to introduce uncertainty into the learnt contingency. The critical result was that these</w:t>
      </w:r>
      <w:r>
        <w:t xml:space="preserve"> </w:t>
      </w:r>
      <w:r>
        <w:t xml:space="preserve">“</w:t>
      </w:r>
      <w:r>
        <w:t xml:space="preserve">no outcome</w:t>
      </w:r>
      <w:r>
        <w:t xml:space="preserve">”</w:t>
      </w:r>
      <w:r>
        <w:t xml:space="preserve"> </w:t>
      </w:r>
      <w:r>
        <w:t xml:space="preserve">trials led to faster learning about the large outcome in the second phase, compared to those who did not have these no outcome trials. This result suggests that this brief period of uncertainty enhanced the attention paid to the cues facilitating subsequent learning</w:t>
      </w:r>
      <w:r>
        <w:rPr>
          <w:rStyle w:val="FootnoteReference"/>
        </w:rPr>
        <w:footnoteReference w:id="36"/>
      </w:r>
      <w:r>
        <w:t xml:space="preserve">.</w:t>
      </w:r>
    </w:p>
    <w:p>
      <w:pPr>
        <w:pStyle w:val="BodyText"/>
      </w:pPr>
      <w:r>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The predictiveness principle leads to a prioritization of information in situations in which outcome events are reliable. However, when outcome events are less stable, it is less advantageous to invest cognitive resources in exploiting what is known. Under these circumstances it might be more advantageous to explore other sources of information, in order to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in order to reduce uncertainty.</w:t>
      </w:r>
    </w:p>
    <w:p>
      <w:pPr>
        <w:pStyle w:val="BodyText"/>
      </w:pPr>
      <w:r>
        <w:t xml:space="preserve">There is a growing body of evidence that points towards both principles operating in parallel in human contingency learning tasks</w:t>
      </w:r>
      <w:r>
        <w:t xml:space="preserve"> </w:t>
      </w:r>
      <w:r>
        <w:t xml:space="preserve">(Koenig et al., 2017; Luque et al., 2017; Torrents-Rodas et al., 2021)</w:t>
      </w:r>
      <w:r>
        <w:t xml:space="preserve">. Beesley et al.</w:t>
      </w:r>
      <w:r>
        <w:t xml:space="preserve"> </w:t>
      </w:r>
      <w:r>
        <w:t xml:space="preserve">(2015)</w:t>
      </w:r>
      <w:r>
        <w:t xml:space="preserve">), for example, adapted the learned predictiveness design of Le Pelley and McLaren</w:t>
      </w:r>
      <w:r>
        <w:t xml:space="preserve"> </w:t>
      </w:r>
      <w:r>
        <w:t xml:space="preserve">(2003)</w:t>
      </w:r>
      <w:r>
        <w:t xml:space="preserve"> </w:t>
      </w:r>
      <w:r>
        <w:t xml:space="preserve">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w:t>
      </w:r>
      <w:r>
        <w:t xml:space="preserve"> </w:t>
      </w:r>
      <w:r>
        <w:t xml:space="preserve">“</w:t>
      </w:r>
      <w:r>
        <w:t xml:space="preserve">uncertain trials</w:t>
      </w:r>
      <w:r>
        <w:t xml:space="preserve">”</w:t>
      </w:r>
      <w:r>
        <w:t xml:space="preserve">, all cues (both predictive and non-predictive) received more attention than the cues did on</w:t>
      </w:r>
      <w:r>
        <w:t xml:space="preserve"> </w:t>
      </w:r>
      <w:r>
        <w:t xml:space="preserve">“</w:t>
      </w:r>
      <w:r>
        <w:t xml:space="preserve">certain trials</w:t>
      </w:r>
      <w:r>
        <w:t xml:space="preserve">”</w:t>
      </w:r>
      <w:r>
        <w:t xml:space="preserve">. However, a predictiveness effect was also evident, with higher attention to predictive than to non-predictive cues, although this effect was only evident for cues. 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pPr>
        <w:pStyle w:val="BodyText"/>
      </w:pPr>
      <w:r>
        <w:t xml:space="preserve">A study by Easdale et al.</w:t>
      </w:r>
      <w:r>
        <w:t xml:space="preserve"> </w:t>
      </w:r>
      <w:r>
        <w:t xml:space="preserve">(2019)</w:t>
      </w:r>
      <w:r>
        <w:t xml:space="preserve"> </w:t>
      </w:r>
      <w:r>
        <w:t xml:space="preserve">examined how these differences in uncertainty affected the rate of learning for these cues. Participants experienced the same certain and uncertain contingencies as in Beesley et al.</w:t>
      </w:r>
      <w:r>
        <w:t xml:space="preserve"> </w:t>
      </w:r>
      <w:r>
        <w:t xml:space="preserve">(2015)</w:t>
      </w:r>
      <w:r>
        <w:t xml:space="preserve"> </w:t>
      </w:r>
      <w:r>
        <w:t xml:space="preserve">in a first phase, before receiving a second phase in which there were new contingencies to learn that would resolve the uncertainty entirely. Somewhat contrary to the expectations of models of the uncertainty principle</w:t>
      </w:r>
      <w:r>
        <w:t xml:space="preserve"> </w:t>
      </w:r>
      <w:r>
        <w:t xml:space="preserve">(e.g., Pearce &amp; Hall, 1980)</w:t>
      </w:r>
      <w:r>
        <w:t xml:space="preserve"> </w:t>
      </w:r>
      <w:r>
        <w:t xml:space="preserve">it was found that participants who initially experienced the uncertain contingencies learnt about these new contingencies more</w:t>
      </w:r>
      <w:r>
        <w:t xml:space="preserve"> </w:t>
      </w:r>
      <w:r>
        <w:rPr>
          <w:iCs/>
          <w:i/>
        </w:rPr>
        <w:t xml:space="preserve">slowly</w:t>
      </w:r>
      <w:r>
        <w:t xml:space="preserve"> </w:t>
      </w:r>
      <w:r>
        <w:t xml:space="preserve">than those participants who first learnt about certain contingencies. Easdale et al. argued that this result provides evidence to support a distinction between</w:t>
      </w:r>
      <w:r>
        <w:t xml:space="preserve"> </w:t>
      </w:r>
      <w:r>
        <w:t xml:space="preserve">“</w:t>
      </w:r>
      <w:r>
        <w:t xml:space="preserve">expected uncertainty</w:t>
      </w:r>
      <w:r>
        <w:t xml:space="preserve">”</w:t>
      </w:r>
      <w:r>
        <w:t xml:space="preserve"> </w:t>
      </w:r>
      <w:r>
        <w:t xml:space="preserve">and</w:t>
      </w:r>
      <w:r>
        <w:t xml:space="preserve"> </w:t>
      </w:r>
      <w:r>
        <w:t xml:space="preserve">“</w:t>
      </w:r>
      <w:r>
        <w:t xml:space="preserve">unexpected uncertainty</w:t>
      </w:r>
      <w:r>
        <w:t xml:space="preserve">”</w:t>
      </w:r>
      <w:r>
        <w:t xml:space="preserve">: in the former, participants may learn to anticipate variation in the outcome, which then leads to slower acquisition of the new contingencies.</w:t>
      </w:r>
    </w:p>
    <w:p>
      <w:pPr>
        <w:pStyle w:val="BodyText"/>
      </w:pPr>
      <w:r>
        <w:t xml:space="preserve">Torrent-Rodas et al.</w:t>
      </w:r>
      <w:r>
        <w:t xml:space="preserve"> </w:t>
      </w:r>
      <w:r>
        <w:t xml:space="preserve">(2023)</w:t>
      </w:r>
      <w:r>
        <w:t xml:space="preserve"> </w:t>
      </w:r>
      <w:r>
        <w:t xml:space="preserve">also examined the impact of uncertainty on overt attention and new learning in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not translate into more rapid learning. One of the reasons why this finding of slow learning under conditions of expected uncertainty is surprising, is that participants in this condition showed higher attention to the cues in the first stage. Thus, the data from Easdale et al. and Torrents-Rodas et al. represent a paradoxical set of data for theories of associative learning to explain, since participants were overtly attending to cues more in the uncertain condition, yet this did not translate into faster learning about these cues. All attentional theories of associative learning would predict that the attention paid to a stimulus is directly related to the rate at which learning occurs for that stimulus. This raises a question as to what the high levels of eye-gaze on cues represents in the results of Beesley et al.</w:t>
      </w:r>
      <w:r>
        <w:t xml:space="preserve"> </w:t>
      </w:r>
      <w:r>
        <w:t xml:space="preserve">(2015)</w:t>
      </w:r>
      <w:r>
        <w:t xml:space="preserve">, Easdale et al.</w:t>
      </w:r>
      <w:r>
        <w:t xml:space="preserve"> </w:t>
      </w:r>
      <w:r>
        <w:t xml:space="preserve">(2019)</w:t>
      </w:r>
      <w:r>
        <w:t xml:space="preserve">, and Torrents-Rodas et al.</w:t>
      </w:r>
      <w:r>
        <w:t xml:space="preserve"> </w:t>
      </w:r>
      <w:r>
        <w:t xml:space="preserve">(2023)</w:t>
      </w:r>
      <w:r>
        <w:t xml:space="preserve">. It is this process that is currently poorly understood and is the focus of the current study.</w:t>
      </w:r>
    </w:p>
    <w:p>
      <w:pPr>
        <w:pStyle w:val="BodyText"/>
      </w:pPr>
      <w:r>
        <w:t xml:space="preserve">A critical question arises from this paradox: does the higher level of overt attention under uncertain conditions reflect an increase in an active cognitive process? Increases in the overt attention paid to stimuli should not only increase just the associative learning pertaining to these stimuli (i.e.,</w:t>
      </w:r>
      <w:r>
        <w:t xml:space="preserve"> </w:t>
      </w:r>
      <w:r>
        <w:t xml:space="preserve">“</w:t>
      </w:r>
      <w:r>
        <w:t xml:space="preserve">learning rate</w:t>
      </w:r>
      <w:r>
        <w:t xml:space="preserve">”</w:t>
      </w:r>
      <w:r>
        <w:t xml:space="preserve">), but also the active encoding and storage of the stimulus representation</w:t>
      </w:r>
      <w:r>
        <w:t xml:space="preserve"> </w:t>
      </w:r>
      <w:r>
        <w:t xml:space="preserve">(Chun &amp; Turk-Browne, 2007)</w:t>
      </w:r>
      <w:r>
        <w:t xml:space="preserve">. For example, Otten et al.</w:t>
      </w:r>
      <w:r>
        <w:t xml:space="preserve"> </w:t>
      </w:r>
      <w:r>
        <w:t xml:space="preserve">(2006)</w:t>
      </w:r>
      <w:r>
        <w:t xml:space="preserve"> </w:t>
      </w:r>
      <w:r>
        <w:t xml:space="preserve">have shown that neural activity associated with a cue to semantically process an upcoming stimulus predicts the successful later retrieval of that stimulus at test; deeper processing tasks encourage richer encoding.</w:t>
      </w:r>
    </w:p>
    <w:p>
      <w:pPr>
        <w:pStyle w:val="BodyText"/>
      </w:pPr>
      <w:r>
        <w:t xml:space="preserve">In the current study, three experiments were conducted with the design employed by Beesley et al.</w:t>
      </w:r>
      <w:r>
        <w:t xml:space="preserve"> </w:t>
      </w:r>
      <w:r>
        <w:t xml:space="preserve">(2015)</w:t>
      </w:r>
      <w:r>
        <w:t xml:space="preserve">, in which the predictiveness and the uncertainty of the cues were manipulated. Active stimulus encoding was measured by means of a recognition memory test for the cues at the end of the task. This memory test therefore provides an index of the level of cue processing under these different training conditions</w:t>
      </w:r>
      <w:r>
        <w:t xml:space="preserve"> </w:t>
      </w:r>
      <w:r>
        <w:t xml:space="preserve">(Craik &amp; Lockhart, 1972)</w:t>
      </w:r>
      <w:r>
        <w:t xml:space="preserve">. Experiment 1 aimed to develop a suitably sensitive recognition memory test that could adequately detect the differences in recognition memory for our learned predictiveness design. Experiment 2 assessed the memory for predictive and non-predictive cues trained either under certain or expected uncertain cues, and Experiment 3 contrasted the effect of expected and unexpected uncertainty.</w:t>
      </w:r>
    </w:p>
    <w:bookmarkEnd w:id="37"/>
    <w:bookmarkStart w:id="71" w:name="experiment-1"/>
    <w:p>
      <w:pPr>
        <w:pStyle w:val="Heading1"/>
      </w:pPr>
      <w:r>
        <w:t xml:space="preserve">Experiment 1</w:t>
      </w:r>
    </w:p>
    <w:p>
      <w:pPr>
        <w:pStyle w:val="FirstParagraph"/>
      </w:pPr>
      <w:r>
        <w:t xml:space="preserve">The aim of Experiment 1 was to develop a recognition memory test that was sensitive to detecting differences in the predictive validity of cues. All participants undertook the same training with the first phase of a</w:t>
      </w:r>
      <w:r>
        <w:t xml:space="preserve"> </w:t>
      </w:r>
      <w:r>
        <w:t xml:space="preserve">“</w:t>
      </w:r>
      <w:r>
        <w:t xml:space="preserve">learned predictiveness</w:t>
      </w:r>
      <w:r>
        <w:t xml:space="preserve">”</w:t>
      </w:r>
      <w:r>
        <w:t xml:space="preserve"> </w:t>
      </w:r>
      <w:r>
        <w:t xml:space="preserve">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w:t>
      </w:r>
      <w:r>
        <w:t xml:space="preserve"> </w:t>
      </w:r>
      <w:r>
        <w:t xml:space="preserve">“</w:t>
      </w:r>
      <w:r>
        <w:t xml:space="preserve">foil</w:t>
      </w:r>
      <w:r>
        <w:t xml:space="preserve">”</w:t>
      </w:r>
      <w:r>
        <w:t xml:space="preserve">). In Test 1, the foil had the same shape as the target but there was variation in the colours used.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Congruent trials offer a direct test of the different memory strength for P and NP cues. We also included incongruent trials, which featured a mix of P and NP cues. Good performance on these trials could be driven by knowledge of the P cues (e.g., identifying a valid P cue or identifying the absence of a valid P cue). Nevertheless, we included these trials to assess overall memory performance between conditions. There were three between-subject groups, which differed in terms of the similarity that the foils had to the cues: High, Medium and Low similarity. The design of Experiment 1 can be seen in</w:t>
      </w:r>
      <w:r>
        <w:t xml:space="preserve"> </w:t>
      </w:r>
      <w:hyperlink w:anchor="tbl-exp1">
        <w:r>
          <w:rPr>
            <w:rStyle w:val="Hyperlink"/>
          </w:rPr>
          <w:t xml:space="preserve">Table 1</w:t>
        </w:r>
      </w:hyperlink>
      <w:r>
        <w:t xml:space="preserve">. Note that following the training stage cues A, B, X and Y were all presented equally 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bookmarkStart w:id="38" w:name="tbl-exp1"/>
    <w:p>
      <w:pPr>
        <w:pStyle w:val="FigureTitle"/>
      </w:pPr>
      <w:r>
        <w:t xml:space="preserve">Table 1</w:t>
      </w:r>
    </w:p>
    <w:p>
      <w:pPr>
        <w:pStyle w:val="Caption"/>
      </w:pPr>
      <w:r>
        <w:t xml:space="preserve">Design of Experiment 1</w:t>
      </w:r>
    </w:p>
    <w:tbl>
      <w:tblPr>
        <w:tblStyle w:val="Table"/>
        <w:tblW w:type="pct" w:w="4881"/>
        <w:tblLook w:firstRow="1" w:lastRow="0" w:firstColumn="0" w:lastColumn="0" w:noHBand="0" w:noVBand="0" w:val="0020"/>
        <w:jc w:val="start"/>
        <w:tblLayout w:type="fixed"/>
      </w:tblPr>
      <w:tblGrid>
        <w:gridCol w:w="1225"/>
        <w:gridCol w:w="1225"/>
        <w:gridCol w:w="2545"/>
        <w:gridCol w:w="2734"/>
      </w:tblGrid>
      <w:tr>
        <w:trPr>
          <w:tblHeader w:val="true"/>
        </w:trPr>
        <w:tc>
          <w:tcPr/>
          <w:p>
            <w:pPr>
              <w:pStyle w:val="Compact"/>
              <w:jc w:val="center"/>
            </w:pPr>
            <w:r>
              <w:t xml:space="preserve">Training</w:t>
            </w:r>
          </w:p>
        </w:tc>
        <w:tc>
          <w:tcPr/>
          <w:p>
            <w:pPr>
              <w:pStyle w:val="Compact"/>
              <w:jc w:val="center"/>
            </w:pPr>
            <w:r>
              <w:t xml:space="preserve">Test1</w:t>
            </w:r>
          </w:p>
        </w:tc>
        <w:tc>
          <w:tcPr/>
          <w:p>
            <w:pPr>
              <w:pStyle w:val="Compact"/>
              <w:jc w:val="center"/>
            </w:pPr>
            <w:r>
              <w:t xml:space="preserve">Test2 - congruent trials</w:t>
            </w:r>
          </w:p>
        </w:tc>
        <w:tc>
          <w:tcPr/>
          <w:p>
            <w:pPr>
              <w:pStyle w:val="Compact"/>
              <w:jc w:val="center"/>
            </w:pPr>
            <w:r>
              <w:t xml:space="preserve">Test2 - incongruent trials</w:t>
            </w:r>
          </w:p>
        </w:tc>
      </w:tr>
      <w:tr>
        <w:tc>
          <w:tcPr/>
          <w:p>
            <w:pPr>
              <w:pStyle w:val="Compact"/>
              <w:jc w:val="center"/>
            </w:pPr>
            <w:r>
              <w:t xml:space="preserve">AX-O1</w:t>
            </w:r>
          </w:p>
        </w:tc>
        <w:tc>
          <w:tcPr/>
          <w:p>
            <w:pPr>
              <w:pStyle w:val="Compact"/>
              <w:jc w:val="center"/>
            </w:pPr>
            <w:r>
              <w:t xml:space="preserve">A vs</w:t>
            </w:r>
            <w:r>
              <w:t xml:space="preserve"> </w:t>
            </w:r>
            <w:r>
              <w:rPr>
                <w:iCs/>
                <w:i/>
              </w:rPr>
              <w:t xml:space="preserve">a</w:t>
            </w:r>
          </w:p>
        </w:tc>
        <w:tc>
          <w:tcPr/>
          <w:p>
            <w:pPr>
              <w:pStyle w:val="Compact"/>
              <w:jc w:val="center"/>
            </w:pPr>
            <w:r>
              <w:t xml:space="preserve">A vs</w:t>
            </w:r>
            <w:r>
              <w:t xml:space="preserve"> </w:t>
            </w:r>
            <w:r>
              <w:rPr>
                <w:iCs/>
                <w:i/>
              </w:rPr>
              <w:t xml:space="preserve">b</w:t>
            </w:r>
          </w:p>
        </w:tc>
        <w:tc>
          <w:tcPr/>
          <w:p>
            <w:pPr>
              <w:pStyle w:val="Compact"/>
              <w:jc w:val="center"/>
            </w:pPr>
            <w:r>
              <w:t xml:space="preserve">A vs</w:t>
            </w:r>
            <w:r>
              <w:t xml:space="preserve"> </w:t>
            </w:r>
            <w:r>
              <w:rPr>
                <w:iCs/>
                <w:i/>
              </w:rPr>
              <w:t xml:space="preserve">x</w:t>
            </w:r>
            <w:r>
              <w:t xml:space="preserve"> </w:t>
            </w:r>
            <w:r>
              <w:t xml:space="preserve">or</w:t>
            </w:r>
            <w:r>
              <w:t xml:space="preserve"> </w:t>
            </w:r>
            <w:r>
              <w:rPr>
                <w:iCs/>
                <w:i/>
              </w:rPr>
              <w:t xml:space="preserve">y</w:t>
            </w:r>
          </w:p>
        </w:tc>
      </w:tr>
      <w:tr>
        <w:tc>
          <w:tcPr/>
          <w:p>
            <w:pPr>
              <w:pStyle w:val="Compact"/>
              <w:jc w:val="center"/>
            </w:pPr>
            <w:r>
              <w:t xml:space="preserve">AY-O1</w:t>
            </w:r>
          </w:p>
        </w:tc>
        <w:tc>
          <w:tcPr/>
          <w:p>
            <w:pPr>
              <w:pStyle w:val="Compact"/>
              <w:jc w:val="center"/>
            </w:pPr>
            <w:r>
              <w:t xml:space="preserve">B vs</w:t>
            </w:r>
            <w:r>
              <w:t xml:space="preserve"> </w:t>
            </w:r>
            <w:r>
              <w:rPr>
                <w:iCs/>
                <w:i/>
              </w:rPr>
              <w:t xml:space="preserve">b</w:t>
            </w:r>
          </w:p>
        </w:tc>
        <w:tc>
          <w:tcPr/>
          <w:p>
            <w:pPr>
              <w:pStyle w:val="Compact"/>
              <w:jc w:val="center"/>
            </w:pPr>
            <w:r>
              <w:t xml:space="preserve">B vs</w:t>
            </w:r>
            <w:r>
              <w:t xml:space="preserve"> </w:t>
            </w:r>
            <w:r>
              <w:rPr>
                <w:iCs/>
                <w:i/>
              </w:rPr>
              <w:t xml:space="preserve">a</w:t>
            </w:r>
          </w:p>
        </w:tc>
        <w:tc>
          <w:tcPr/>
          <w:p>
            <w:pPr>
              <w:pStyle w:val="Compact"/>
              <w:jc w:val="center"/>
            </w:pPr>
            <w:r>
              <w:t xml:space="preserve">B vs</w:t>
            </w:r>
            <w:r>
              <w:t xml:space="preserve"> </w:t>
            </w:r>
            <w:r>
              <w:rPr>
                <w:iCs/>
                <w:i/>
              </w:rPr>
              <w:t xml:space="preserve">x</w:t>
            </w:r>
            <w:r>
              <w:t xml:space="preserve"> </w:t>
            </w:r>
            <w:r>
              <w:t xml:space="preserve">or</w:t>
            </w:r>
            <w:r>
              <w:t xml:space="preserve"> </w:t>
            </w:r>
            <w:r>
              <w:rPr>
                <w:iCs/>
                <w:i/>
              </w:rPr>
              <w:t xml:space="preserve">y</w:t>
            </w:r>
          </w:p>
        </w:tc>
      </w:tr>
      <w:tr>
        <w:tc>
          <w:tcPr/>
          <w:p>
            <w:pPr>
              <w:pStyle w:val="Compact"/>
              <w:jc w:val="center"/>
            </w:pPr>
            <w:r>
              <w:t xml:space="preserve">BX-O2</w:t>
            </w:r>
          </w:p>
        </w:tc>
        <w:tc>
          <w:tcPr/>
          <w:p>
            <w:pPr>
              <w:pStyle w:val="Compact"/>
              <w:jc w:val="center"/>
            </w:pPr>
            <w:r>
              <w:t xml:space="preserve">X vs</w:t>
            </w:r>
            <w:r>
              <w:t xml:space="preserve"> </w:t>
            </w:r>
            <w:r>
              <w:rPr>
                <w:iCs/>
                <w:i/>
              </w:rPr>
              <w:t xml:space="preserve">x</w:t>
            </w:r>
          </w:p>
        </w:tc>
        <w:tc>
          <w:tcPr/>
          <w:p>
            <w:pPr>
              <w:pStyle w:val="Compact"/>
              <w:jc w:val="center"/>
            </w:pPr>
            <w:r>
              <w:t xml:space="preserve">X vs</w:t>
            </w:r>
            <w:r>
              <w:t xml:space="preserve"> </w:t>
            </w:r>
            <w:r>
              <w:rPr>
                <w:iCs/>
                <w:i/>
              </w:rPr>
              <w:t xml:space="preserve">a</w:t>
            </w:r>
          </w:p>
        </w:tc>
        <w:tc>
          <w:tcPr/>
          <w:p>
            <w:pPr>
              <w:pStyle w:val="Compact"/>
              <w:jc w:val="center"/>
            </w:pPr>
            <w:r>
              <w:t xml:space="preserve">X vs</w:t>
            </w:r>
            <w:r>
              <w:t xml:space="preserve"> </w:t>
            </w:r>
            <w:r>
              <w:rPr>
                <w:iCs/>
                <w:i/>
              </w:rPr>
              <w:t xml:space="preserve">a</w:t>
            </w:r>
            <w:r>
              <w:t xml:space="preserve"> </w:t>
            </w:r>
            <w:r>
              <w:t xml:space="preserve">or</w:t>
            </w:r>
            <w:r>
              <w:t xml:space="preserve"> </w:t>
            </w:r>
            <w:r>
              <w:rPr>
                <w:iCs/>
                <w:i/>
              </w:rPr>
              <w:t xml:space="preserve">b</w:t>
            </w:r>
          </w:p>
        </w:tc>
      </w:tr>
      <w:tr>
        <w:tc>
          <w:tcPr/>
          <w:p>
            <w:pPr>
              <w:pStyle w:val="Compact"/>
              <w:jc w:val="center"/>
            </w:pPr>
            <w:r>
              <w:t xml:space="preserve">BY-O2</w:t>
            </w:r>
          </w:p>
        </w:tc>
        <w:tc>
          <w:tcPr/>
          <w:p>
            <w:pPr>
              <w:pStyle w:val="Compact"/>
              <w:jc w:val="center"/>
            </w:pPr>
            <w:r>
              <w:t xml:space="preserve">Y vs</w:t>
            </w:r>
            <w:r>
              <w:t xml:space="preserve"> </w:t>
            </w:r>
            <w:r>
              <w:rPr>
                <w:iCs/>
                <w:i/>
              </w:rPr>
              <w:t xml:space="preserve">y</w:t>
            </w:r>
          </w:p>
        </w:tc>
        <w:tc>
          <w:tcPr/>
          <w:p>
            <w:pPr>
              <w:pStyle w:val="Compact"/>
              <w:jc w:val="center"/>
            </w:pPr>
            <w:r>
              <w:t xml:space="preserve">Y vs</w:t>
            </w:r>
            <w:r>
              <w:t xml:space="preserve"> </w:t>
            </w:r>
            <w:r>
              <w:rPr>
                <w:iCs/>
                <w:i/>
              </w:rPr>
              <w:t xml:space="preserve">a</w:t>
            </w:r>
          </w:p>
        </w:tc>
        <w:tc>
          <w:tcPr/>
          <w:p>
            <w:pPr>
              <w:pStyle w:val="Compact"/>
              <w:jc w:val="center"/>
            </w:pPr>
            <w:r>
              <w:t xml:space="preserve">Y vs</w:t>
            </w:r>
            <w:r>
              <w:t xml:space="preserve"> </w:t>
            </w:r>
            <w:r>
              <w:rPr>
                <w:iCs/>
                <w:i/>
              </w:rPr>
              <w:t xml:space="preserve">a</w:t>
            </w:r>
            <w:r>
              <w:t xml:space="preserve"> </w:t>
            </w:r>
            <w:r>
              <w:t xml:space="preserve">or</w:t>
            </w:r>
            <w:r>
              <w:t xml:space="preserve"> </w:t>
            </w:r>
            <w:r>
              <w:rPr>
                <w:iCs/>
                <w:i/>
              </w:rPr>
              <w:t xml:space="preserve">b</w:t>
            </w:r>
          </w:p>
        </w:tc>
      </w:tr>
    </w:tbl>
    <w:bookmarkEnd w:id="38"/>
    <w:p>
      <w:pPr>
        <w:pStyle w:val="FigureNote"/>
      </w:pPr>
      <w:r>
        <w:rPr>
          <w:iCs/>
          <w:i/>
        </w:rPr>
        <w:t xml:space="preserve">Note</w:t>
      </w:r>
      <w:r>
        <w:t xml:space="preserve">. UUppercase letters A, B, X, and Y represent the cues presented during training. O1 and O2 represent the outcomes presented in training. Lowercase letters</w:t>
      </w:r>
      <w:r>
        <w:t xml:space="preserve"> </w:t>
      </w:r>
      <w:r>
        <w:rPr>
          <w:iCs/>
          <w:i/>
        </w:rPr>
        <w:t xml:space="preserve">a</w:t>
      </w:r>
      <w:r>
        <w:t xml:space="preserve">,</w:t>
      </w:r>
      <w:r>
        <w:t xml:space="preserve"> </w:t>
      </w:r>
      <w:r>
        <w:rPr>
          <w:iCs/>
          <w:i/>
        </w:rPr>
        <w:t xml:space="preserve">b</w:t>
      </w:r>
      <w:r>
        <w:t xml:space="preserve">,</w:t>
      </w:r>
      <w:r>
        <w:t xml:space="preserve"> </w:t>
      </w:r>
      <w:r>
        <w:rPr>
          <w:iCs/>
          <w:i/>
        </w:rPr>
        <w:t xml:space="preserve">x</w:t>
      </w:r>
      <w:r>
        <w:t xml:space="preserve">, and</w:t>
      </w:r>
      <w:r>
        <w:t xml:space="preserve"> </w:t>
      </w:r>
      <w:r>
        <w:rPr>
          <w:iCs/>
          <w:i/>
        </w:rPr>
        <w:t xml:space="preserve">y</w:t>
      </w:r>
      <w:r>
        <w:t xml:space="preserve"> </w:t>
      </w:r>
      <w:r>
        <w:t xml:space="preserve">represent the foils that are similar to their respective (uppercase letter) cues presented in the training phase.</w:t>
      </w:r>
    </w:p>
    <w:bookmarkStart w:id="56" w:name="methods"/>
    <w:p>
      <w:pPr>
        <w:pStyle w:val="Heading2"/>
      </w:pPr>
      <w:r>
        <w:t xml:space="preserve">Methods</w:t>
      </w:r>
    </w:p>
    <w:bookmarkStart w:id="39" w:name="transparency-and-openess-statement"/>
    <w:p>
      <w:pPr>
        <w:pStyle w:val="Heading3"/>
      </w:pPr>
      <w:r>
        <w:t xml:space="preserve">Transparency and openess statement</w:t>
      </w:r>
    </w:p>
    <w:p>
      <w:pPr>
        <w:pStyle w:val="FirstParagraph"/>
      </w:pPr>
      <w:r>
        <w:t xml:space="preserve">In this study we detail the processes for identifying any data to be excluded, any data exclusions and all measures in the study. Statistical analyses were conducted using RStudio</w:t>
      </w:r>
      <w:r>
        <w:t xml:space="preserve"> </w:t>
      </w:r>
      <w:r>
        <w:t xml:space="preserve">(2024)</w:t>
      </w:r>
      <w:r>
        <w:t xml:space="preserve">, with R version 4.3.3</w:t>
      </w:r>
      <w:r>
        <w:t xml:space="preserve"> </w:t>
      </w:r>
      <w:r>
        <w:t xml:space="preserve">(Team, 2023)</w:t>
      </w:r>
      <w:r>
        <w:t xml:space="preserve">. All experiments were built with the open-source software PsychoPy [v. 2022.2.4;</w:t>
      </w:r>
      <w:r>
        <w:t xml:space="preserve"> </w:t>
      </w:r>
      <w:r>
        <w:t xml:space="preserve">Peirce et al. (2019)</w:t>
      </w:r>
      <w:r>
        <w:t xml:space="preserve">], and all experiments were run on Pavlovia. Participants were recruited through Prolific. The design and analysis of the experiments were based on previously published manuscripts but were not preregistered. Materials and data are freely available at: www.github.com/munizdiezclara/UNM_draft. All the experiments reported in this paper received ethical approval by the Ethics Committee at the School of Psychology, Lancaster University, UK.</w:t>
      </w:r>
    </w:p>
    <w:bookmarkEnd w:id="39"/>
    <w:bookmarkStart w:id="40" w:name="participants"/>
    <w:p>
      <w:pPr>
        <w:pStyle w:val="Heading3"/>
      </w:pPr>
      <w:r>
        <w:t xml:space="preserve">Participants</w:t>
      </w:r>
    </w:p>
    <w:p>
      <w:pPr>
        <w:pStyle w:val="FirstParagraph"/>
      </w:pPr>
      <w:r>
        <w:t xml:space="preserve">90 participants were recruited through Prolific. The sample consisted of 35 females, 54 males and one non-binary person, with 24 different nationalities. The mean age was 31.5 for the 86 participants that reported their age, being (range 19 - 55. The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on the memory tests (High, Medium and Low). Six participants were excluded, as they failed at least one of the comprehension checks before the memory tests, in such way that group High had 27 participants, group Medium had 30 participants, and group Low had 27 participants. Post-hoc calculations using G*Power 3.1</w:t>
      </w:r>
      <w:r>
        <w:t xml:space="preserve"> </w:t>
      </w:r>
      <w:r>
        <w:t xml:space="preserve">(Faul et al., 2007)</w:t>
      </w:r>
      <w:r>
        <w:t xml:space="preserve"> </w:t>
      </w:r>
      <w:r>
        <w:t xml:space="preserve">revealed that the resulting sample size of 84 had a power of .99 to detect an effect size of η</w:t>
      </w:r>
      <w:r>
        <w:rPr>
          <w:vertAlign w:val="subscript"/>
        </w:rPr>
        <w:t xml:space="preserve">p</w:t>
      </w:r>
      <w:r>
        <w:rPr>
          <w:vertAlign w:val="superscript"/>
        </w:rPr>
        <w:t xml:space="preserve">2</w:t>
      </w:r>
      <w:r>
        <w:t xml:space="preserve"> </w:t>
      </w:r>
      <w:r>
        <w:t xml:space="preserve">= .06 that was observed for the predictiveness main effect reported in</w:t>
      </w:r>
      <w:r>
        <w:t xml:space="preserve"> </w:t>
      </w:r>
      <w:hyperlink w:anchor="fig-test2Exp1">
        <w:r>
          <w:rPr>
            <w:rStyle w:val="Hyperlink"/>
          </w:rPr>
          <w:t xml:space="preserve">Figure 6</w:t>
        </w:r>
      </w:hyperlink>
      <w:r>
        <w:t xml:space="preserve">.</w:t>
      </w:r>
    </w:p>
    <w:bookmarkEnd w:id="40"/>
    <w:bookmarkStart w:id="45" w:name="apparatus-and-stimuli"/>
    <w:p>
      <w:pPr>
        <w:pStyle w:val="Heading3"/>
      </w:pPr>
      <w:r>
        <w:t xml:space="preserve">Apparatus and stimuli</w:t>
      </w:r>
    </w:p>
    <w:p>
      <w:pPr>
        <w:pStyle w:val="FirstParagraph"/>
      </w:pPr>
      <w:r>
        <w:t xml:space="preserve">Participants were presented with a task built in PsychoPy [v. 2022.2.4;</w:t>
      </w:r>
      <w:r>
        <w:t xml:space="preserve"> </w:t>
      </w:r>
      <w:r>
        <w:t xml:space="preserve">Peirce et al. (2019)</w:t>
      </w:r>
      <w:r>
        <w:t xml:space="preserve">] and hosted in Pavlovia.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Each cue was 945 x 945 pixels, automatically re-scaled to 0.4 x 0.4 of the window height. The outcomes (O1 and O2) were two images displaying a mutant creature, black with yellow details. Each was 332 x 664 pixels, automatically re-scaled to 0.16 x 0.2 of the window height.</w:t>
      </w:r>
    </w:p>
    <w:p>
      <w:pPr>
        <w:pStyle w:val="BodyText"/>
      </w:pPr>
      <w:r>
        <w:t xml:space="preserve">Examples of the cue images are shown in</w:t>
      </w:r>
      <w:r>
        <w:t xml:space="preserve"> </w:t>
      </w:r>
      <w:hyperlink w:anchor="fig-foil_example">
        <w:r>
          <w:rPr>
            <w:rStyle w:val="Hyperlink"/>
          </w:rPr>
          <w:t xml:space="preserve">Figure 1</w:t>
        </w:r>
      </w:hyperlink>
      <w:r>
        <w:t xml:space="preserve">. The foils used in the tests were colour-modifications of the original cues: for the VS group, the colours of one red and one blue circle were switched (four remained unchanged); for the S group, the colours of two red and two blue circles were switched (two remained unchanged); and for the NS group, the colours of all circles were switched. All of the images used in the experiment are presented in Appendix I.</w:t>
      </w:r>
    </w:p>
    <w:bookmarkStart w:id="44" w:name="fig-foil_example"/>
    <w:p>
      <w:pPr>
        <w:pStyle w:val="FigureTitle"/>
      </w:pPr>
      <w:r>
        <w:t xml:space="preserve">Figure 1</w:t>
      </w:r>
    </w:p>
    <w:p>
      <w:pPr>
        <w:pStyle w:val="Caption"/>
      </w:pPr>
      <w:r>
        <w:t xml:space="preserve">Example of the modifications in the original cue image to create the foils.</w:t>
      </w:r>
    </w:p>
    <w:p>
      <w:pPr>
        <w:pStyle w:val="FigureWithNote"/>
      </w:pPr>
      <w:r>
        <w:drawing>
          <wp:inline>
            <wp:extent cx="5943600" cy="4148451"/>
            <wp:effectExtent b="0" l="0" r="0" t="0"/>
            <wp:docPr descr="" title="" id="42" name="Picture"/>
            <a:graphic>
              <a:graphicData uri="http://schemas.openxmlformats.org/drawingml/2006/picture">
                <pic:pic>
                  <pic:nvPicPr>
                    <pic:cNvPr descr="images/foil_example.png" id="43" name="Picture"/>
                    <pic:cNvPicPr>
                      <a:picLocks noChangeArrowheads="1" noChangeAspect="1"/>
                    </pic:cNvPicPr>
                  </pic:nvPicPr>
                  <pic:blipFill>
                    <a:blip r:embed="rId41"/>
                    <a:stretch>
                      <a:fillRect/>
                    </a:stretch>
                  </pic:blipFill>
                  <pic:spPr bwMode="auto">
                    <a:xfrm>
                      <a:off x="0" y="0"/>
                      <a:ext cx="5943600" cy="4148451"/>
                    </a:xfrm>
                    <a:prstGeom prst="rect">
                      <a:avLst/>
                    </a:prstGeom>
                    <a:noFill/>
                    <a:ln w="9525">
                      <a:noFill/>
                      <a:headEnd/>
                      <a:tailEnd/>
                    </a:ln>
                  </pic:spPr>
                </pic:pic>
              </a:graphicData>
            </a:graphic>
          </wp:inline>
        </w:drawing>
      </w:r>
    </w:p>
    <w:bookmarkEnd w:id="44"/>
    <w:p>
      <w:pPr>
        <w:pStyle w:val="FigureNote"/>
      </w:pPr>
      <w:r>
        <w:rPr>
          <w:iCs/>
          <w:i/>
        </w:rPr>
        <w:t xml:space="preserve">Note</w:t>
      </w:r>
      <w:r>
        <w:t xml:space="preserve">. The top row shows an example cue used in the training phase, with three potential foils (depending on condition) shown in the bottom row. High - two of the circles have swapped colours; Medium - four circles have swapped colours; Low - all six circles have swapped colours.</w:t>
      </w:r>
    </w:p>
    <w:bookmarkEnd w:id="45"/>
    <w:bookmarkStart w:id="46" w:name="design"/>
    <w:p>
      <w:pPr>
        <w:pStyle w:val="Heading3"/>
      </w:pPr>
      <w:r>
        <w:t xml:space="preserve">Design</w:t>
      </w:r>
    </w:p>
    <w:p>
      <w:pPr>
        <w:pStyle w:val="FirstParagraph"/>
      </w:pPr>
      <w:r>
        <w:t xml:space="preserve">The experiment used a mixed design, with the cue-predictiveness (P and NP) and the test format (Test 1 and Test 2) manipulated within-subjects and the similarity between targets and foils manipulated between-subjects. The training phase consisted of four blocks, with each block consisting of 20 trials. As shown in</w:t>
      </w:r>
      <w:r>
        <w:t xml:space="preserve"> </w:t>
      </w:r>
      <w:hyperlink w:anchor="tbl-exp1">
        <w:r>
          <w:rPr>
            <w:rStyle w:val="Hyperlink"/>
          </w:rPr>
          <w:t xml:space="preserve">Table 1</w:t>
        </w:r>
      </w:hyperlink>
      <w:r>
        <w:t xml:space="preserve">, there were four trial types (compound cues), with cues A and B predictive of outcome 1 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pPr>
        <w:pStyle w:val="BodyText"/>
      </w:pPr>
      <w:r>
        <w:t xml:space="preserve">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pPr>
        <w:pStyle w:val="BodyText"/>
      </w:pPr>
      <w:r>
        <w:t xml:space="preserve">Test 2 consisted of six presentations of each of the four cues (24 trials in total). Each cue was presented twice with each of the three foils shown in</w:t>
      </w:r>
      <w:r>
        <w:t xml:space="preserve"> </w:t>
      </w:r>
      <w:hyperlink w:anchor="tbl-exp1">
        <w:r>
          <w:rPr>
            <w:rStyle w:val="Hyperlink"/>
          </w:rPr>
          <w:t xml:space="preserve">Table 1</w:t>
        </w:r>
      </w:hyperlink>
      <w:r>
        <w:t xml:space="preserve">. For example, cue A was presented with the foil corresponding to cue B, the foil corresponding to cue X, and the foil corresponding to cue Y.</w:t>
      </w:r>
    </w:p>
    <w:bookmarkEnd w:id="46"/>
    <w:bookmarkStart w:id="55" w:name="procedure"/>
    <w:p>
      <w:pPr>
        <w:pStyle w:val="Heading3"/>
      </w:pPr>
      <w:r>
        <w:t xml:space="preserve">Procedure</w:t>
      </w:r>
    </w:p>
    <w:p>
      <w:pPr>
        <w:pStyle w:val="FirstParagraph"/>
      </w:pPr>
      <w:r>
        <w:t xml:space="preserve">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feedback provided after their decision to make their future choices more accurate.</w:t>
      </w:r>
    </w:p>
    <w:p>
      <w:pPr>
        <w:pStyle w:val="BodyText"/>
      </w:pPr>
      <w:r>
        <w:t xml:space="preserve">After reading the instructions, participants were presented with a comprehension check, in which the instructions were summarised, and they were asked to select the answer that best described what they had to do in the task. The experiment ended if participants failed this comprehension check twice. If participants passed the comprehension check, they proceeded to the training phase.</w:t>
      </w:r>
    </w:p>
    <w:p>
      <w:pPr>
        <w:pStyle w:val="BodyText"/>
      </w:pPr>
      <w:r>
        <w:t xml:space="preserve">All the trials in the training phase started with a 0.5 second blank screen. After that, two cues were presented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w:t>
      </w:r>
      <w:r>
        <w:t xml:space="preserve"> </w:t>
      </w:r>
      <w:r>
        <w:t xml:space="preserve">“</w:t>
      </w:r>
      <w:r>
        <w:t xml:space="preserve">CORRECT!</w:t>
      </w:r>
      <w:r>
        <w:t xml:space="preserve">”</w:t>
      </w:r>
      <w:r>
        <w:t xml:space="preserve"> </w:t>
      </w:r>
      <w:r>
        <w:t xml:space="preserve">was displayed in the centre of the screen in green (RGB: 0, 255, 0), otherwise the message</w:t>
      </w:r>
      <w:r>
        <w:t xml:space="preserve"> </w:t>
      </w:r>
      <w:r>
        <w:t xml:space="preserve">“</w:t>
      </w:r>
      <w:r>
        <w:t xml:space="preserve">INCORRECT!</w:t>
      </w:r>
      <w:r>
        <w:t xml:space="preserve">”</w:t>
      </w:r>
      <w:r>
        <w:t xml:space="preserve"> </w:t>
      </w:r>
      <w:r>
        <w:t xml:space="preserve">appeared in red (RGB: 255, 0, 0). After two seconds, the next trial started. If participants failed to select an outcome within 10 seconds of the trial starting, all images disappeared from the screen and the message</w:t>
      </w:r>
      <w:r>
        <w:t xml:space="preserve"> </w:t>
      </w:r>
      <w:r>
        <w:t xml:space="preserve">“</w:t>
      </w:r>
      <w:r>
        <w:t xml:space="preserve">TIMEOUT - TOO SLOW</w:t>
      </w:r>
      <w:r>
        <w:t xml:space="preserve">”</w:t>
      </w:r>
      <w:r>
        <w:t xml:space="preserve"> </w:t>
      </w:r>
      <w:r>
        <w:t xml:space="preserve">was presented in the centre of the screen in red, and the next trial started after one second. An example of a training trial can be seen in</w:t>
      </w:r>
      <w:r>
        <w:t xml:space="preserve"> </w:t>
      </w:r>
      <w:hyperlink w:anchor="fig-trainexample">
        <w:r>
          <w:rPr>
            <w:rStyle w:val="Hyperlink"/>
          </w:rPr>
          <w:t xml:space="preserve">Figure 2</w:t>
        </w:r>
      </w:hyperlink>
      <w:r>
        <w:t xml:space="preserve">.</w:t>
      </w:r>
    </w:p>
    <w:bookmarkStart w:id="50" w:name="fig-trainexample"/>
    <w:p>
      <w:pPr>
        <w:pStyle w:val="FigureTitle"/>
      </w:pPr>
      <w:r>
        <w:t xml:space="preserve">Figure 2</w:t>
      </w:r>
    </w:p>
    <w:p>
      <w:pPr>
        <w:pStyle w:val="Caption"/>
      </w:pPr>
      <w:r>
        <w:t xml:space="preserve">An example of a Training Trial in Experiment 1.</w:t>
      </w:r>
    </w:p>
    <w:p>
      <w:pPr>
        <w:pStyle w:val="FigureWithNote"/>
      </w:pPr>
      <w:r>
        <w:drawing>
          <wp:inline>
            <wp:extent cx="5943600" cy="3488601"/>
            <wp:effectExtent b="0" l="0" r="0" t="0"/>
            <wp:docPr descr="" title="" id="48" name="Picture"/>
            <a:graphic>
              <a:graphicData uri="http://schemas.openxmlformats.org/drawingml/2006/picture">
                <pic:pic>
                  <pic:nvPicPr>
                    <pic:cNvPr descr="images/trainexample.png" id="49" name="Picture"/>
                    <pic:cNvPicPr>
                      <a:picLocks noChangeArrowheads="1" noChangeAspect="1"/>
                    </pic:cNvPicPr>
                  </pic:nvPicPr>
                  <pic:blipFill>
                    <a:blip r:embed="rId47"/>
                    <a:stretch>
                      <a:fillRect/>
                    </a:stretch>
                  </pic:blipFill>
                  <pic:spPr bwMode="auto">
                    <a:xfrm>
                      <a:off x="0" y="0"/>
                      <a:ext cx="5943600" cy="3488601"/>
                    </a:xfrm>
                    <a:prstGeom prst="rect">
                      <a:avLst/>
                    </a:prstGeom>
                    <a:noFill/>
                    <a:ln w="9525">
                      <a:noFill/>
                      <a:headEnd/>
                      <a:tailEnd/>
                    </a:ln>
                  </pic:spPr>
                </pic:pic>
              </a:graphicData>
            </a:graphic>
          </wp:inline>
        </w:drawing>
      </w:r>
    </w:p>
    <w:bookmarkEnd w:id="50"/>
    <w:p>
      <w:pPr>
        <w:pStyle w:val="FigureNote"/>
      </w:pPr>
      <w:r>
        <w:rPr>
          <w:iCs/>
          <w:i/>
        </w:rPr>
        <w:t xml:space="preserve">Note</w:t>
      </w:r>
      <w:r>
        <w:t xml:space="preserve">. The timings represent the duration of each display.</w:t>
      </w:r>
    </w:p>
    <w:p>
      <w:pPr>
        <w:pStyle w:val="BodyText"/>
      </w:pPr>
      <w:r>
        <w:t xml:space="preserve">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but it was presented only once and participants continued to the test, irrespective of the response given.</w:t>
      </w:r>
    </w:p>
    <w:p>
      <w:pPr>
        <w:pStyle w:val="BodyText"/>
      </w:pPr>
      <w:r>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for them to give a confidence rating. Above this rating scale, the question</w:t>
      </w:r>
      <w:r>
        <w:t xml:space="preserve"> </w:t>
      </w:r>
      <w:r>
        <w:rPr>
          <w:iCs/>
          <w:i/>
        </w:rPr>
        <w:t xml:space="preserve">How confident are you of your response?</w:t>
      </w:r>
      <w:r>
        <w:t xml:space="preserve"> </w:t>
      </w:r>
      <w:r>
        <w:t xml:space="preserve">was displayed. The rating scale had 10 points, with the labels</w:t>
      </w:r>
      <w:r>
        <w:t xml:space="preserve"> </w:t>
      </w:r>
      <w:r>
        <w:rPr>
          <w:iCs/>
          <w:i/>
        </w:rPr>
        <w:t xml:space="preserve">I am guessing</w:t>
      </w:r>
      <w:r>
        <w:t xml:space="preserve"> </w:t>
      </w:r>
      <w:r>
        <w:t xml:space="preserve">on the left end, and</w:t>
      </w:r>
      <w:r>
        <w:t xml:space="preserve"> </w:t>
      </w:r>
      <w:r>
        <w:rPr>
          <w:iCs/>
          <w:i/>
        </w:rPr>
        <w:t xml:space="preserve">I am certain</w:t>
      </w:r>
      <w:r>
        <w:t xml:space="preserve"> </w:t>
      </w:r>
      <w:r>
        <w:t xml:space="preserve">on the right end, and a red dot in the middle. Participants had to click on the rating scale to move the red dot to give their confidence rating. After this, a button with the word</w:t>
      </w:r>
      <w:r>
        <w:t xml:space="preserve"> </w:t>
      </w:r>
      <w:r>
        <w:rPr>
          <w:iCs/>
          <w:i/>
        </w:rPr>
        <w:t xml:space="preserve">CONTINUE</w:t>
      </w:r>
      <w:r>
        <w:t xml:space="preserve"> </w:t>
      </w:r>
      <w:r>
        <w:t xml:space="preserve">appeared. All responses in the test phase had no time limit and participants could advance to the next test trial at their own pace.</w:t>
      </w:r>
    </w:p>
    <w:p>
      <w:pPr>
        <w:pStyle w:val="BodyText"/>
      </w:pPr>
      <w:r>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w:t>
      </w:r>
      <w:r>
        <w:t xml:space="preserve"> </w:t>
      </w:r>
      <w:hyperlink w:anchor="fig-testexample">
        <w:r>
          <w:rPr>
            <w:rStyle w:val="Hyperlink"/>
          </w:rPr>
          <w:t xml:space="preserve">Figure 3</w:t>
        </w:r>
      </w:hyperlink>
      <w:r>
        <w:t xml:space="preserve">.</w:t>
      </w:r>
    </w:p>
    <w:bookmarkStart w:id="54" w:name="fig-testexample"/>
    <w:p>
      <w:pPr>
        <w:pStyle w:val="FigureTitle"/>
      </w:pPr>
      <w:r>
        <w:t xml:space="preserve">Figure 3</w:t>
      </w:r>
    </w:p>
    <w:p>
      <w:pPr>
        <w:pStyle w:val="Caption"/>
      </w:pPr>
      <w:r>
        <w:t xml:space="preserve">An example of a Test Trial in Experiment 1.</w:t>
      </w:r>
    </w:p>
    <w:p>
      <w:pPr>
        <w:pStyle w:val="FigureWithNote"/>
      </w:pPr>
      <w:r>
        <w:drawing>
          <wp:inline>
            <wp:extent cx="5943600" cy="3478754"/>
            <wp:effectExtent b="0" l="0" r="0" t="0"/>
            <wp:docPr descr="" title="" id="52" name="Picture"/>
            <a:graphic>
              <a:graphicData uri="http://schemas.openxmlformats.org/drawingml/2006/picture">
                <pic:pic>
                  <pic:nvPicPr>
                    <pic:cNvPr descr="images/testexample.png" id="53" name="Picture"/>
                    <pic:cNvPicPr>
                      <a:picLocks noChangeArrowheads="1" noChangeAspect="1"/>
                    </pic:cNvPicPr>
                  </pic:nvPicPr>
                  <pic:blipFill>
                    <a:blip r:embed="rId51"/>
                    <a:stretch>
                      <a:fillRect/>
                    </a:stretch>
                  </pic:blipFill>
                  <pic:spPr bwMode="auto">
                    <a:xfrm>
                      <a:off x="0" y="0"/>
                      <a:ext cx="5943600" cy="3478754"/>
                    </a:xfrm>
                    <a:prstGeom prst="rect">
                      <a:avLst/>
                    </a:prstGeom>
                    <a:noFill/>
                    <a:ln w="9525">
                      <a:noFill/>
                      <a:headEnd/>
                      <a:tailEnd/>
                    </a:ln>
                  </pic:spPr>
                </pic:pic>
              </a:graphicData>
            </a:graphic>
          </wp:inline>
        </w:drawing>
      </w:r>
    </w:p>
    <w:bookmarkEnd w:id="54"/>
    <w:p>
      <w:pPr>
        <w:pStyle w:val="FigureNote"/>
      </w:pPr>
      <w:r>
        <w:rPr>
          <w:iCs/>
          <w:i/>
        </w:rPr>
        <w:t xml:space="preserve">Note</w:t>
      </w:r>
      <w:r>
        <w:t xml:space="preserve">. The timings represent the duration of each display.</w:t>
      </w:r>
    </w:p>
    <w:bookmarkEnd w:id="55"/>
    <w:bookmarkEnd w:id="56"/>
    <w:bookmarkStart w:id="69" w:name="results"/>
    <w:p>
      <w:pPr>
        <w:pStyle w:val="Heading2"/>
      </w:pPr>
      <w:r>
        <w:t xml:space="preserve">Results</w:t>
      </w:r>
    </w:p>
    <w:p>
      <w:pPr>
        <w:pStyle w:val="FirstParagraph"/>
      </w:pPr>
      <w:r>
        <w:t xml:space="preserve">In all statistical tests, we adopt a significance level of .05. Greenhouse–Geisser corrected degrees of freedom were used where Mauchly’s test indicated that the assumption of sphericity was violated.</w:t>
      </w:r>
    </w:p>
    <w:p>
      <w:pPr>
        <w:pStyle w:val="BodyText"/>
      </w:pPr>
      <w:r>
        <w:t xml:space="preserve">Participants that failed either the comprehension check before Test 1 or Test 2 were excluded from these analyses. Six participants were excluded based on this criterion (three from group VS, and three from group NS).</w:t>
      </w:r>
    </w:p>
    <w:p>
      <w:pPr>
        <w:pStyle w:val="BodyText"/>
      </w:pPr>
      <w:r>
        <w:t xml:space="preserve">The dependent variable during training was the proportion of accurate outcome responses. In</w:t>
      </w:r>
      <w:r>
        <w:t xml:space="preserve"> </w:t>
      </w:r>
      <w:hyperlink w:anchor="fig-trainingExp1">
        <w:r>
          <w:rPr>
            <w:rStyle w:val="Hyperlink"/>
          </w:rPr>
          <w:t xml:space="preserve">Figure 4</w:t>
        </w:r>
      </w:hyperlink>
      <w:r>
        <w:t xml:space="preserve"> </w:t>
      </w:r>
      <w:r>
        <w:t xml:space="preserve">the mean block accuracy for each similarity group is displayed. All groups showed a similar increase in responding across blocks, reaching an approximate accuracy of 0.85 in the final block of the experiment.</w:t>
      </w:r>
    </w:p>
    <w:bookmarkStart w:id="60" w:name="fig-trainingExp1"/>
    <w:p>
      <w:pPr>
        <w:pStyle w:val="FigureTitle"/>
      </w:pPr>
      <w:r>
        <w:t xml:space="preserve">Figure 4</w:t>
      </w:r>
    </w:p>
    <w:p>
      <w:pPr>
        <w:pStyle w:val="Caption"/>
      </w:pPr>
      <w:r>
        <w:t xml:space="preserve">Accuracy on the training phase of Experiment 1.</w:t>
      </w:r>
    </w:p>
    <w:p>
      <w:pPr>
        <w:pStyle w:val="FigureWithNote"/>
      </w:pPr>
      <w:r>
        <w:drawing>
          <wp:inline>
            <wp:extent cx="5943600" cy="3657600"/>
            <wp:effectExtent b="0" l="0" r="0" t="0"/>
            <wp:docPr descr="" title="" id="58" name="Picture"/>
            <a:graphic>
              <a:graphicData uri="http://schemas.openxmlformats.org/drawingml/2006/picture">
                <pic:pic>
                  <pic:nvPicPr>
                    <pic:cNvPr descr="UNM_draft_files/figure-docx/fig-trainingExp1-1.png" id="59" name="Picture"/>
                    <pic:cNvPicPr>
                      <a:picLocks noChangeArrowheads="1" noChangeAspect="1"/>
                    </pic:cNvPicPr>
                  </pic:nvPicPr>
                  <pic:blipFill>
                    <a:blip r:embed="rId57"/>
                    <a:stretch>
                      <a:fillRect/>
                    </a:stretch>
                  </pic:blipFill>
                  <pic:spPr bwMode="auto">
                    <a:xfrm>
                      <a:off x="0" y="0"/>
                      <a:ext cx="5943600" cy="3657600"/>
                    </a:xfrm>
                    <a:prstGeom prst="rect">
                      <a:avLst/>
                    </a:prstGeom>
                    <a:noFill/>
                    <a:ln w="9525">
                      <a:noFill/>
                      <a:headEnd/>
                      <a:tailEnd/>
                    </a:ln>
                  </pic:spPr>
                </pic:pic>
              </a:graphicData>
            </a:graphic>
          </wp:inline>
        </w:drawing>
      </w:r>
    </w:p>
    <w:bookmarkEnd w:id="60"/>
    <w:p>
      <w:pPr>
        <w:pStyle w:val="FigureNote"/>
      </w:pPr>
      <w:r>
        <w:rPr>
          <w:iCs/>
          <w:i/>
        </w:rPr>
        <w:t xml:space="preserve">Note</w:t>
      </w:r>
      <w:r>
        <w:t xml:space="preserve">. Proportion of accurate responses (±SEM) on the training phase of Experiment 1, plotted against the four blocks of trials, for each similarity group.</w:t>
      </w:r>
    </w:p>
    <w:p>
      <w:pPr>
        <w:pStyle w:val="BodyText"/>
      </w:pPr>
      <w:r>
        <w:t xml:space="preserve">This was confirmed by a mixed model Analysis of Variance (ANOVA) with the within-subjects factor</w:t>
      </w:r>
      <w:r>
        <w:t xml:space="preserve"> </w:t>
      </w:r>
      <w:r>
        <w:rPr>
          <w:iCs/>
          <w:i/>
        </w:rPr>
        <w:t xml:space="preserve">block</w:t>
      </w:r>
      <w:r>
        <w:t xml:space="preserve"> </w:t>
      </w:r>
      <w:r>
        <w:t xml:space="preserve">(1-4), and the between-subjects factor</w:t>
      </w:r>
      <w:r>
        <w:t xml:space="preserve"> </w:t>
      </w:r>
      <w:r>
        <w:rPr>
          <w:iCs/>
          <w:i/>
        </w:rPr>
        <w:t xml:space="preserve">similarity</w:t>
      </w:r>
      <w:r>
        <w:t xml:space="preserve"> </w:t>
      </w:r>
      <w:r>
        <w:t xml:space="preserve">(VS, S, and NS). Degrees of freedom were corrected by Greenhouse-Geisser when necessary. This analysis found a significant main effect of the</w:t>
      </w:r>
      <w:r>
        <w:t xml:space="preserve"> </w:t>
      </w:r>
      <w:r>
        <w:rPr>
          <w:iCs/>
          <w:i/>
        </w:rPr>
        <w:t xml:space="preserve">block</w:t>
      </w:r>
      <w:r>
        <w:t xml:space="preserve">, with extreme Bayesian evidence for the alternative hypothesis,</w:t>
      </w:r>
      <w:r>
        <w:t xml:space="preserve"> </w:t>
      </w:r>
      <w:r>
        <w:rPr>
          <w:iCs/>
          <w:i/>
        </w:rPr>
        <w:t xml:space="preserve">F</w:t>
      </w:r>
      <w:r>
        <w:t xml:space="preserve">(2.28, 184.81) = 54.69,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.40, BF</w:t>
      </w:r>
      <w:r>
        <w:rPr>
          <w:vertAlign w:val="subscript"/>
        </w:rPr>
        <w:t xml:space="preserve">10</w:t>
      </w:r>
      <w:r>
        <w:t xml:space="preserve"> </w:t>
      </w:r>
      <w:r>
        <w:t xml:space="preserve">= 3.8x10</w:t>
      </w:r>
      <w:r>
        <w:rPr>
          <w:vertAlign w:val="superscript"/>
        </w:rPr>
        <w:t xml:space="preserve">23</w:t>
      </w:r>
      <w:r>
        <w:t xml:space="preserve"> </w:t>
      </w:r>
      <w:r>
        <w:t xml:space="preserve">± 3.14%. There was no main effect of</w:t>
      </w:r>
      <w:r>
        <w:t xml:space="preserve"> </w:t>
      </w:r>
      <w:r>
        <w:rPr>
          <w:iCs/>
          <w:i/>
        </w:rPr>
        <w:t xml:space="preserve">similarity</w:t>
      </w:r>
      <w:r>
        <w:t xml:space="preserve">,</w:t>
      </w:r>
      <w:r>
        <w:t xml:space="preserve"> </w:t>
      </w:r>
      <w:r>
        <w:rPr>
          <w:iCs/>
          <w:i/>
        </w:rPr>
        <w:t xml:space="preserve">F</w:t>
      </w:r>
      <w:r>
        <w:t xml:space="preserve">(2, 81) = 0.23,</w:t>
      </w:r>
      <w:r>
        <w:t xml:space="preserve"> </w:t>
      </w:r>
      <w:r>
        <w:rPr>
          <w:iCs/>
          <w:i/>
        </w:rPr>
        <w:t xml:space="preserve">p</w:t>
      </w:r>
      <w:r>
        <w:t xml:space="preserve"> </w:t>
      </w:r>
      <w:r>
        <w:t xml:space="preserve">= .799,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0.16 ± 13.17% nor an interaction effect,</w:t>
      </w:r>
      <w:r>
        <w:t xml:space="preserve"> </w:t>
      </w:r>
      <w:r>
        <w:rPr>
          <w:iCs/>
          <w:i/>
        </w:rPr>
        <w:t xml:space="preserve">F</w:t>
      </w:r>
      <w:r>
        <w:t xml:space="preserve">(4.56, 184.81) = 1.45,</w:t>
      </w:r>
      <w:r>
        <w:t xml:space="preserve"> </w:t>
      </w:r>
      <w:r>
        <w:rPr>
          <w:iCs/>
          <w:i/>
        </w:rPr>
        <w:t xml:space="preserve">p</w:t>
      </w:r>
      <w:r>
        <w:t xml:space="preserve"> </w:t>
      </w:r>
      <w:r>
        <w:t xml:space="preserve">= .214,</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0.11 ± 39.79%, with both showing moderate Bayesian evidence for the null hypothesis. These results indicate that the training was equally effective for the three similarity groups, all of them increasing their performance as the phase progressed.</w:t>
      </w:r>
    </w:p>
    <w:p>
      <w:pPr>
        <w:pStyle w:val="BodyText"/>
      </w:pPr>
      <w:r>
        <w:t xml:space="preserve">For the test data, we calculated a</w:t>
      </w:r>
      <w:r>
        <w:t xml:space="preserve"> </w:t>
      </w:r>
      <w:r>
        <w:t xml:space="preserve">“</w:t>
      </w:r>
      <w:r>
        <w:t xml:space="preserve">memory score</w:t>
      </w:r>
      <w:r>
        <w:t xml:space="preserve">”</w:t>
      </w:r>
      <w:r>
        <w:t xml:space="preserve"> </w:t>
      </w:r>
      <w:r>
        <w:t xml:space="preserve">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w:t>
      </w:r>
      <w:r>
        <w:t xml:space="preserve"> </w:t>
      </w:r>
      <w:r>
        <w:rPr>
          <w:iCs/>
          <w:i/>
        </w:rPr>
        <w:t xml:space="preserve">r</w:t>
      </w:r>
      <w:r>
        <w:t xml:space="preserve">(166) = .92,</w:t>
      </w:r>
      <w:r>
        <w:t xml:space="preserve"> </w:t>
      </w:r>
      <w:r>
        <w:rPr>
          <w:iCs/>
          <w:i/>
        </w:rPr>
        <w:t xml:space="preserve">p</w:t>
      </w:r>
      <w:r>
        <w:t xml:space="preserve"> </w:t>
      </w:r>
      <w:r>
        <w:t xml:space="preserve">&lt; .001, BF</w:t>
      </w:r>
      <w:r>
        <w:rPr>
          <w:vertAlign w:val="subscript"/>
        </w:rPr>
        <w:t xml:space="preserve">10</w:t>
      </w:r>
      <w:r>
        <w:t xml:space="preserve"> </w:t>
      </w:r>
      <w:r>
        <w:t xml:space="preserve">= 1x10</w:t>
      </w:r>
      <w:r>
        <w:rPr>
          <w:vertAlign w:val="superscript"/>
        </w:rPr>
        <w:t xml:space="preserve">63</w:t>
      </w:r>
      <w:r>
        <w:t xml:space="preserve"> </w:t>
      </w:r>
      <w:r>
        <w:t xml:space="preserve">± 0% in Test 1, and</w:t>
      </w:r>
      <w:r>
        <w:t xml:space="preserve"> </w:t>
      </w:r>
      <w:r>
        <w:rPr>
          <w:iCs/>
          <w:i/>
        </w:rPr>
        <w:t xml:space="preserve">r</w:t>
      </w:r>
      <w:r>
        <w:t xml:space="preserve">(166) = .93,</w:t>
      </w:r>
      <w:r>
        <w:t xml:space="preserve"> </w:t>
      </w:r>
      <w:r>
        <w:rPr>
          <w:iCs/>
          <w:i/>
        </w:rPr>
        <w:t xml:space="preserve">p</w:t>
      </w:r>
      <w:r>
        <w:t xml:space="preserve"> </w:t>
      </w:r>
      <w:r>
        <w:t xml:space="preserve">&lt; .001, BF</w:t>
      </w:r>
      <w:r>
        <w:rPr>
          <w:vertAlign w:val="subscript"/>
        </w:rPr>
        <w:t xml:space="preserve">10</w:t>
      </w:r>
      <w:r>
        <w:t xml:space="preserve"> </w:t>
      </w:r>
      <w:r>
        <w:t xml:space="preserve">= 5.2x10</w:t>
      </w:r>
      <w:r>
        <w:rPr>
          <w:vertAlign w:val="superscript"/>
        </w:rPr>
        <w:t xml:space="preserve">69</w:t>
      </w:r>
      <w:r>
        <w:t xml:space="preserve"> </w:t>
      </w:r>
      <w:r>
        <w:t xml:space="preserve">± 0% in Test 2. Mean memory scores for Test 1 are displayed in</w:t>
      </w:r>
      <w:r>
        <w:t xml:space="preserve"> </w:t>
      </w:r>
      <w:hyperlink w:anchor="fig-test1Exp1">
        <w:r>
          <w:rPr>
            <w:rStyle w:val="Hyperlink"/>
          </w:rPr>
          <w:t xml:space="preserve">Figure 5</w:t>
        </w:r>
      </w:hyperlink>
      <w:r>
        <w:t xml:space="preserve">. In groups Low and Medium similarity, memory score was higher for the predictive than the non-predictive cue, whereas this tendency was inverted in the High group. Also, groups Low and Medium showed higher memory score than group Low.</w:t>
      </w:r>
    </w:p>
    <w:bookmarkStart w:id="64" w:name="fig-test1Exp1"/>
    <w:p>
      <w:pPr>
        <w:pStyle w:val="FigureTitle"/>
      </w:pPr>
      <w:r>
        <w:t xml:space="preserve">Figure 5</w:t>
      </w:r>
    </w:p>
    <w:p>
      <w:pPr>
        <w:pStyle w:val="Caption"/>
      </w:pPr>
      <w:r>
        <w:t xml:space="preserve">Memory scores during Test1 of Experiment 1.</w:t>
      </w:r>
    </w:p>
    <w:p>
      <w:pPr>
        <w:pStyle w:val="FigureWithNote"/>
      </w:pPr>
      <w:r>
        <w:drawing>
          <wp:inline>
            <wp:extent cx="5943600" cy="3657600"/>
            <wp:effectExtent b="0" l="0" r="0" t="0"/>
            <wp:docPr descr="" title="" id="62" name="Picture"/>
            <a:graphic>
              <a:graphicData uri="http://schemas.openxmlformats.org/drawingml/2006/picture">
                <pic:pic>
                  <pic:nvPicPr>
                    <pic:cNvPr descr="UNM_draft_files/figure-docx/fig-test1Exp1-1.png" id="63" name="Picture"/>
                    <pic:cNvPicPr>
                      <a:picLocks noChangeArrowheads="1" noChangeAspect="1"/>
                    </pic:cNvPicPr>
                  </pic:nvPicPr>
                  <pic:blipFill>
                    <a:blip r:embed="rId61"/>
                    <a:stretch>
                      <a:fillRect/>
                    </a:stretch>
                  </pic:blipFill>
                  <pic:spPr bwMode="auto">
                    <a:xfrm>
                      <a:off x="0" y="0"/>
                      <a:ext cx="5943600" cy="3657600"/>
                    </a:xfrm>
                    <a:prstGeom prst="rect">
                      <a:avLst/>
                    </a:prstGeom>
                    <a:noFill/>
                    <a:ln w="9525">
                      <a:noFill/>
                      <a:headEnd/>
                      <a:tailEnd/>
                    </a:ln>
                  </pic:spPr>
                </pic:pic>
              </a:graphicData>
            </a:graphic>
          </wp:inline>
        </w:drawing>
      </w:r>
    </w:p>
    <w:bookmarkEnd w:id="64"/>
    <w:p>
      <w:pPr>
        <w:pStyle w:val="FigureNote"/>
      </w:pPr>
      <w:r>
        <w:rPr>
          <w:iCs/>
          <w:i/>
        </w:rPr>
        <w:t xml:space="preserve">Note</w:t>
      </w:r>
      <w:r>
        <w:t xml:space="preserve">. Mean memory scores (±SEM) on Test1 of Experiment 1 for predictive and non-predictive trials in the High, Medium and Low similarity groups.</w:t>
      </w:r>
    </w:p>
    <w:p>
      <w:pPr>
        <w:pStyle w:val="BodyText"/>
      </w:pPr>
      <w:r>
        <w:t xml:space="preserve">These differences, however, were very small, and according to the mixed model ANOVA, none of the main effects or the interaction were significant:</w:t>
      </w:r>
      <w:r>
        <w:t xml:space="preserve"> </w:t>
      </w:r>
      <w:r>
        <w:rPr>
          <w:iCs/>
          <w:i/>
        </w:rPr>
        <w:t xml:space="preserve">similarity</w:t>
      </w:r>
      <w:r>
        <w:t xml:space="preserve">:</w:t>
      </w:r>
      <w:r>
        <w:t xml:space="preserve"> </w:t>
      </w:r>
      <w:r>
        <w:rPr>
          <w:iCs/>
          <w:i/>
        </w:rPr>
        <w:t xml:space="preserve">F</w:t>
      </w:r>
      <w:r>
        <w:t xml:space="preserve">(2, 81) = 1.29,</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0.35 ± 1.93%;</w:t>
      </w:r>
      <w:r>
        <w:t xml:space="preserve"> </w:t>
      </w:r>
      <w:r>
        <w:rPr>
          <w:iCs/>
          <w:i/>
        </w:rPr>
        <w:t xml:space="preserve">predictiveness</w:t>
      </w:r>
      <w:r>
        <w:t xml:space="preserve">:</w:t>
      </w:r>
      <w:r>
        <w:t xml:space="preserve"> </w:t>
      </w:r>
      <w:r>
        <w:rPr>
          <w:iCs/>
          <w:i/>
        </w:rPr>
        <w:t xml:space="preserve">F</w:t>
      </w:r>
      <w:r>
        <w:t xml:space="preserve">(1, 81) = 1.17,</w:t>
      </w:r>
      <w:r>
        <w:t xml:space="preserve"> </w:t>
      </w:r>
      <w:r>
        <w:rPr>
          <w:iCs/>
          <w:i/>
        </w:rPr>
        <w:t xml:space="preserve">p</w:t>
      </w:r>
      <w:r>
        <w:t xml:space="preserve"> </w:t>
      </w:r>
      <w:r>
        <w:t xml:space="preserve">= .282,</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0.27 ± 2.12%;</w:t>
      </w:r>
      <w:r>
        <w:t xml:space="preserve"> </w:t>
      </w:r>
      <w:r>
        <w:rPr>
          <w:iCs/>
          <w:i/>
        </w:rPr>
        <w:t xml:space="preserve">similarity x predictiveness</w:t>
      </w:r>
      <w:r>
        <w:t xml:space="preserve">:</w:t>
      </w:r>
      <w:r>
        <w:t xml:space="preserve"> </w:t>
      </w:r>
      <w:r>
        <w:rPr>
          <w:iCs/>
          <w:i/>
        </w:rPr>
        <w:t xml:space="preserve">F</w:t>
      </w:r>
      <w:r>
        <w:t xml:space="preserve">(2, 81) = 0.85,</w:t>
      </w:r>
      <w:r>
        <w:t xml:space="preserve"> </w:t>
      </w:r>
      <w:r>
        <w:rPr>
          <w:iCs/>
          <w:i/>
        </w:rPr>
        <w:t xml:space="preserve">p</w:t>
      </w:r>
      <w:r>
        <w:t xml:space="preserve"> </w:t>
      </w:r>
      <w:r>
        <w:t xml:space="preserve">= .432,</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0.35 ± 1.93%. Of note, there was moderate evidence for a null-effect of predictiveness, suggesting that Test 1 failed to reveal any differences in cue-processing between predictive and non-predictive cues.</w:t>
      </w:r>
    </w:p>
    <w:p>
      <w:pPr>
        <w:pStyle w:val="BodyText"/>
      </w:pPr>
      <w:hyperlink w:anchor="fig-test2Exp1">
        <w:r>
          <w:rPr>
            <w:rStyle w:val="Hyperlink"/>
          </w:rPr>
          <w:t xml:space="preserve">Figure 6</w:t>
        </w:r>
      </w:hyperlink>
      <w:r>
        <w:t xml:space="preserve"> </w:t>
      </w:r>
      <w:r>
        <w:t xml:space="preserve">shows the data from Test2. Overall, mean memory scores were smaller for non-predictive than for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bookmarkStart w:id="68" w:name="fig-test2Exp1"/>
    <w:p>
      <w:pPr>
        <w:pStyle w:val="FigureTitle"/>
      </w:pPr>
      <w:r>
        <w:t xml:space="preserve">Figure 6</w:t>
      </w:r>
    </w:p>
    <w:p>
      <w:pPr>
        <w:pStyle w:val="Caption"/>
      </w:pPr>
      <w:r>
        <w:t xml:space="preserve">Memory scores during Test2 of Experiment 1.</w:t>
      </w:r>
    </w:p>
    <w:p>
      <w:pPr>
        <w:pStyle w:val="FigureWithNote"/>
      </w:pPr>
      <w:r>
        <w:drawing>
          <wp:inline>
            <wp:extent cx="5943600" cy="3657600"/>
            <wp:effectExtent b="0" l="0" r="0" t="0"/>
            <wp:docPr descr="" title="" id="66" name="Picture"/>
            <a:graphic>
              <a:graphicData uri="http://schemas.openxmlformats.org/drawingml/2006/picture">
                <pic:pic>
                  <pic:nvPicPr>
                    <pic:cNvPr descr="UNM_draft_files/figure-docx/fig-test2Exp1-1.png" id="67" name="Picture"/>
                    <pic:cNvPicPr>
                      <a:picLocks noChangeArrowheads="1" noChangeAspect="1"/>
                    </pic:cNvPicPr>
                  </pic:nvPicPr>
                  <pic:blipFill>
                    <a:blip r:embed="rId65"/>
                    <a:stretch>
                      <a:fillRect/>
                    </a:stretch>
                  </pic:blipFill>
                  <pic:spPr bwMode="auto">
                    <a:xfrm>
                      <a:off x="0" y="0"/>
                      <a:ext cx="5943600" cy="3657600"/>
                    </a:xfrm>
                    <a:prstGeom prst="rect">
                      <a:avLst/>
                    </a:prstGeom>
                    <a:noFill/>
                    <a:ln w="9525">
                      <a:noFill/>
                      <a:headEnd/>
                      <a:tailEnd/>
                    </a:ln>
                  </pic:spPr>
                </pic:pic>
              </a:graphicData>
            </a:graphic>
          </wp:inline>
        </w:drawing>
      </w:r>
    </w:p>
    <w:bookmarkEnd w:id="68"/>
    <w:p>
      <w:pPr>
        <w:pStyle w:val="FigureNote"/>
      </w:pPr>
      <w:r>
        <w:rPr>
          <w:iCs/>
          <w:i/>
        </w:rPr>
        <w:t xml:space="preserve">Note</w:t>
      </w:r>
      <w:r>
        <w:t xml:space="preserve">. Mean memory scores (±SEM) on Test2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target was presented with a non-predictive foil (P-InCon), and trials in which a predictive target was presented with a predictive foil (P-Con).</w:t>
      </w:r>
    </w:p>
    <w:p>
      <w:pPr>
        <w:pStyle w:val="BodyText"/>
      </w:pPr>
      <w:r>
        <w:t xml:space="preserve">These data were analysed using a mixed ANOVA with the factors of</w:t>
      </w:r>
      <w:r>
        <w:t xml:space="preserve"> </w:t>
      </w:r>
      <w:r>
        <w:rPr>
          <w:iCs/>
          <w:i/>
        </w:rPr>
        <w:t xml:space="preserve">predictiveness</w:t>
      </w:r>
      <w:r>
        <w:t xml:space="preserve"> </w:t>
      </w:r>
      <w:r>
        <w:t xml:space="preserve">(predictive vs. non-predictive target cue),</w:t>
      </w:r>
      <w:r>
        <w:t xml:space="preserve"> </w:t>
      </w:r>
      <w:r>
        <w:rPr>
          <w:iCs/>
          <w:i/>
        </w:rPr>
        <w:t xml:space="preserve">congruence</w:t>
      </w:r>
      <w:r>
        <w:t xml:space="preserve"> </w:t>
      </w:r>
      <w:r>
        <w:t xml:space="preserve">(target and foil same predictiveness or not), and</w:t>
      </w:r>
      <w:r>
        <w:t xml:space="preserve"> </w:t>
      </w:r>
      <w:r>
        <w:rPr>
          <w:iCs/>
          <w:i/>
        </w:rPr>
        <w:t xml:space="preserve">similarity</w:t>
      </w:r>
      <w:r>
        <w:t xml:space="preserve"> </w:t>
      </w:r>
      <w:r>
        <w:t xml:space="preserve">(High, Medium, Low). This analysis found that the only significant differences were due to the main effect of</w:t>
      </w:r>
      <w:r>
        <w:t xml:space="preserve"> </w:t>
      </w:r>
      <w:r>
        <w:rPr>
          <w:iCs/>
          <w:i/>
        </w:rPr>
        <w:t xml:space="preserve">predictiveness</w:t>
      </w:r>
      <w:r>
        <w:t xml:space="preserve">, with strong Bayesian evidence for the alternative hypothesis,</w:t>
      </w:r>
      <w:r>
        <w:t xml:space="preserve"> </w:t>
      </w:r>
      <w:r>
        <w:rPr>
          <w:iCs/>
          <w:i/>
        </w:rPr>
        <w:t xml:space="preserve">F</w:t>
      </w:r>
      <w:r>
        <w:t xml:space="preserve">(1, 81) = 5.58,</w:t>
      </w:r>
      <w:r>
        <w:t xml:space="preserve"> </w:t>
      </w:r>
      <w:r>
        <w:rPr>
          <w:iCs/>
          <w:i/>
        </w:rPr>
        <w:t xml:space="preserve">p</w:t>
      </w:r>
      <w:r>
        <w:t xml:space="preserve"> </w:t>
      </w:r>
      <w:r>
        <w:t xml:space="preserve">= .021,</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11.24 ± 3.22%. No other significant effects were found, and the Bayesian evidence was moderate for the null hypothesis for all of them:</w:t>
      </w:r>
      <w:r>
        <w:t xml:space="preserve"> </w:t>
      </w:r>
      <w:r>
        <w:rPr>
          <w:iCs/>
          <w:i/>
        </w:rPr>
        <w:t xml:space="preserve">similarity</w:t>
      </w:r>
      <w:r>
        <w:t xml:space="preserve">:</w:t>
      </w:r>
      <w:r>
        <w:t xml:space="preserve"> </w:t>
      </w:r>
      <w:r>
        <w:rPr>
          <w:iCs/>
          <w:i/>
        </w:rPr>
        <w:t xml:space="preserve">F</w:t>
      </w:r>
      <w:r>
        <w:t xml:space="preserve">(2, 81) = 0.41,</w:t>
      </w:r>
      <w:r>
        <w:t xml:space="preserve"> </w:t>
      </w:r>
      <w:r>
        <w:rPr>
          <w:iCs/>
          <w:i/>
        </w:rPr>
        <w:t xml:space="preserve">p</w:t>
      </w:r>
      <w:r>
        <w:t xml:space="preserve"> </w:t>
      </w:r>
      <w:r>
        <w:t xml:space="preserve">= .668,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0.24 ± 13.69%;</w:t>
      </w:r>
      <w:r>
        <w:t xml:space="preserve"> </w:t>
      </w:r>
      <w:r>
        <w:rPr>
          <w:iCs/>
          <w:i/>
        </w:rPr>
        <w:t xml:space="preserve">congruence</w:t>
      </w:r>
      <w:r>
        <w:t xml:space="preserve">:</w:t>
      </w:r>
      <w:r>
        <w:t xml:space="preserve"> </w:t>
      </w:r>
      <w:r>
        <w:rPr>
          <w:iCs/>
          <w:i/>
        </w:rPr>
        <w:t xml:space="preserve">F</w:t>
      </w:r>
      <w:r>
        <w:t xml:space="preserve">(1, 81) = 0.29,</w:t>
      </w:r>
      <w:r>
        <w:t xml:space="preserve"> </w:t>
      </w:r>
      <w:r>
        <w:rPr>
          <w:iCs/>
          <w:i/>
        </w:rPr>
        <w:t xml:space="preserve">p</w:t>
      </w:r>
      <w:r>
        <w:t xml:space="preserve"> </w:t>
      </w:r>
      <w:r>
        <w:t xml:space="preserve">= .595,</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0.12 ± 3.06%;</w:t>
      </w:r>
      <w:r>
        <w:t xml:space="preserve"> </w:t>
      </w:r>
      <w:r>
        <w:rPr>
          <w:iCs/>
          <w:i/>
        </w:rPr>
        <w:t xml:space="preserve">similarity x predictiveness</w:t>
      </w:r>
      <w:r>
        <w:t xml:space="preserve">:</w:t>
      </w:r>
      <w:r>
        <w:t xml:space="preserve"> </w:t>
      </w:r>
      <w:r>
        <w:rPr>
          <w:iCs/>
          <w:i/>
        </w:rPr>
        <w:t xml:space="preserve">F</w:t>
      </w:r>
      <w:r>
        <w:t xml:space="preserve">(2, 81) = 0.97,</w:t>
      </w:r>
      <w:r>
        <w:t xml:space="preserve"> </w:t>
      </w:r>
      <w:r>
        <w:rPr>
          <w:iCs/>
          <w:i/>
        </w:rPr>
        <w:t xml:space="preserve">p</w:t>
      </w:r>
      <w:r>
        <w:t xml:space="preserve"> </w:t>
      </w:r>
      <w:r>
        <w:t xml:space="preserve">= .383,</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0.12 ± 27.88%;</w:t>
      </w:r>
      <w:r>
        <w:t xml:space="preserve"> </w:t>
      </w:r>
      <w:r>
        <w:rPr>
          <w:iCs/>
          <w:i/>
        </w:rPr>
        <w:t xml:space="preserve">predictiveness x congruence</w:t>
      </w:r>
      <w:r>
        <w:t xml:space="preserve">:</w:t>
      </w:r>
      <w:r>
        <w:t xml:space="preserve"> </w:t>
      </w:r>
      <w:r>
        <w:rPr>
          <w:iCs/>
          <w:i/>
        </w:rPr>
        <w:t xml:space="preserve">F</w:t>
      </w:r>
      <w:r>
        <w:t xml:space="preserve">(1, 81) = 0.42,</w:t>
      </w:r>
      <w:r>
        <w:t xml:space="preserve"> </w:t>
      </w:r>
      <w:r>
        <w:rPr>
          <w:iCs/>
          <w:i/>
        </w:rPr>
        <w:t xml:space="preserve">p</w:t>
      </w:r>
      <w:r>
        <w:t xml:space="preserve"> </w:t>
      </w:r>
      <w:r>
        <w:t xml:space="preserve">= .518,</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0.19 ± 5.55%;</w:t>
      </w:r>
      <w:r>
        <w:t xml:space="preserve"> </w:t>
      </w:r>
      <w:r>
        <w:rPr>
          <w:iCs/>
          <w:i/>
        </w:rPr>
        <w:t xml:space="preserve">similarity x congruence</w:t>
      </w:r>
      <w:r>
        <w:t xml:space="preserve">:</w:t>
      </w:r>
      <w:r>
        <w:t xml:space="preserve"> </w:t>
      </w:r>
      <w:r>
        <w:rPr>
          <w:iCs/>
          <w:i/>
        </w:rPr>
        <w:t xml:space="preserve">F</w:t>
      </w:r>
      <w:r>
        <w:t xml:space="preserve">(2, 81) = 2.61,</w:t>
      </w:r>
      <w:r>
        <w:t xml:space="preserve"> </w:t>
      </w:r>
      <w:r>
        <w:rPr>
          <w:iCs/>
          <w:i/>
        </w:rPr>
        <w:t xml:space="preserve">p</w:t>
      </w:r>
      <w:r>
        <w:t xml:space="preserve"> </w:t>
      </w:r>
      <w:r>
        <w:t xml:space="preserve">= .080,</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0.27 ± 26.94%;</w:t>
      </w:r>
      <w:r>
        <w:t xml:space="preserve"> </w:t>
      </w:r>
      <w:r>
        <w:rPr>
          <w:iCs/>
          <w:i/>
        </w:rPr>
        <w:t xml:space="preserve">similarity x predictiveness x congruence</w:t>
      </w:r>
      <w:r>
        <w:t xml:space="preserve">:</w:t>
      </w:r>
      <w:r>
        <w:t xml:space="preserve"> </w:t>
      </w:r>
      <w:r>
        <w:rPr>
          <w:iCs/>
          <w:i/>
        </w:rPr>
        <w:t xml:space="preserve">F</w:t>
      </w:r>
      <w:r>
        <w:t xml:space="preserve">(2, 81) = 0.03,</w:t>
      </w:r>
      <w:r>
        <w:t xml:space="preserve"> </w:t>
      </w:r>
      <w:r>
        <w:rPr>
          <w:iCs/>
          <w:i/>
        </w:rPr>
        <w:t xml:space="preserve">p</w:t>
      </w:r>
      <w:r>
        <w:t xml:space="preserve"> </w:t>
      </w:r>
      <w:r>
        <w:t xml:space="preserve">= .970,</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0.05 ± 60.72%. The results indicate that, in Test2, participants showed better memory for predictive than non-predictive cues, but there were no differences due to the congruence of the test trial, nor the similarity of the foils to the training stimuli.</w:t>
      </w:r>
    </w:p>
    <w:p>
      <w:pPr>
        <w:pStyle w:val="BodyText"/>
      </w:pPr>
      <w:r>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w:t>
      </w:r>
      <w:r>
        <w:t xml:space="preserve"> </w:t>
      </w:r>
      <w:r>
        <w:rPr>
          <w:iCs/>
          <w:i/>
        </w:rPr>
        <w:t xml:space="preserve">predictiveness</w:t>
      </w:r>
      <w:r>
        <w:t xml:space="preserve"> </w:t>
      </w:r>
      <w:r>
        <w:t xml:space="preserve">(predictive vs non-predictive) and</w:t>
      </w:r>
      <w:r>
        <w:t xml:space="preserve"> </w:t>
      </w:r>
      <w:r>
        <w:rPr>
          <w:iCs/>
          <w:i/>
        </w:rPr>
        <w:t xml:space="preserve">congruence</w:t>
      </w:r>
      <w:r>
        <w:t xml:space="preserve"> </w:t>
      </w:r>
      <w:r>
        <w:t xml:space="preserve">(congruent vs incongruent). In group Low, there was no main effect of</w:t>
      </w:r>
      <w:r>
        <w:t xml:space="preserve"> </w:t>
      </w:r>
      <w:r>
        <w:rPr>
          <w:iCs/>
          <w:i/>
        </w:rPr>
        <w:t xml:space="preserve">predictiveness</w:t>
      </w:r>
      <w:r>
        <w:t xml:space="preserve">,</w:t>
      </w:r>
      <w:r>
        <w:t xml:space="preserve"> </w:t>
      </w:r>
      <w:r>
        <w:rPr>
          <w:iCs/>
          <w:i/>
        </w:rPr>
        <w:t xml:space="preserve">F</w:t>
      </w:r>
      <w:r>
        <w:t xml:space="preserve">(1, 26) = 0.46,</w:t>
      </w:r>
      <w:r>
        <w:t xml:space="preserve"> </w:t>
      </w:r>
      <w:r>
        <w:rPr>
          <w:iCs/>
          <w:i/>
        </w:rPr>
        <w:t xml:space="preserve">p</w:t>
      </w:r>
      <w:r>
        <w:t xml:space="preserve"> </w:t>
      </w:r>
      <w:r>
        <w:t xml:space="preserve">= .505,</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0.29 ± 6.48%, nor of</w:t>
      </w:r>
      <w:r>
        <w:t xml:space="preserve"> </w:t>
      </w:r>
      <w:r>
        <w:rPr>
          <w:iCs/>
          <w:i/>
        </w:rPr>
        <w:t xml:space="preserve">congruence</w:t>
      </w:r>
      <w:r>
        <w:t xml:space="preserve">,</w:t>
      </w:r>
      <w:r>
        <w:t xml:space="preserve"> </w:t>
      </w:r>
      <w:r>
        <w:rPr>
          <w:iCs/>
          <w:i/>
        </w:rPr>
        <w:t xml:space="preserve">F</w:t>
      </w:r>
      <w:r>
        <w:t xml:space="preserve">(1, 26) = 1.20,</w:t>
      </w:r>
      <w:r>
        <w:t xml:space="preserve"> </w:t>
      </w:r>
      <w:r>
        <w:rPr>
          <w:iCs/>
          <w:i/>
        </w:rPr>
        <w:t xml:space="preserve">p</w:t>
      </w:r>
      <w:r>
        <w:t xml:space="preserve"> </w:t>
      </w:r>
      <w:r>
        <w:t xml:space="preserve">= .283,</w:t>
      </w:r>
      <w:r>
        <w:t xml:space="preserve"> </w:t>
      </w:r>
      <m:oMath>
        <m:sSubSup>
          <m:e>
            <m:r>
              <m:t>η</m:t>
            </m:r>
          </m:e>
          <m:sub>
            <m:r>
              <m:t>p</m:t>
            </m:r>
          </m:sub>
          <m:sup>
            <m:r>
              <m:t>2</m:t>
            </m:r>
          </m:sup>
        </m:sSubSup>
      </m:oMath>
      <w:r>
        <w:t xml:space="preserve"> </w:t>
      </w:r>
      <w:r>
        <w:t xml:space="preserve">= .04, BF</w:t>
      </w:r>
      <w:r>
        <w:rPr>
          <w:vertAlign w:val="subscript"/>
        </w:rPr>
        <w:t xml:space="preserve">10</w:t>
      </w:r>
      <w:r>
        <w:t xml:space="preserve"> </w:t>
      </w:r>
      <w:r>
        <w:t xml:space="preserve">= 0.22 ± 2.59% and no interaction, , BF</w:t>
      </w:r>
      <w:r>
        <w:rPr>
          <w:vertAlign w:val="subscript"/>
        </w:rPr>
        <w:t xml:space="preserve">10</w:t>
      </w:r>
      <w:r>
        <w:t xml:space="preserve"> </w:t>
      </w:r>
      <w:r>
        <w:t xml:space="preserve">= 0.26 ± 7.3%. For group Medium, there was also no effect of</w:t>
      </w:r>
      <w:r>
        <w:t xml:space="preserve"> </w:t>
      </w:r>
      <w:r>
        <w:rPr>
          <w:iCs/>
          <w:i/>
        </w:rPr>
        <w:t xml:space="preserve">predictiveness</w:t>
      </w:r>
      <w:r>
        <w:t xml:space="preserve">:</w:t>
      </w:r>
      <w:r>
        <w:t xml:space="preserve"> </w:t>
      </w:r>
      <w:r>
        <w:rPr>
          <w:iCs/>
          <w:i/>
        </w:rPr>
        <w:t xml:space="preserve">F</w:t>
      </w:r>
      <w:r>
        <w:t xml:space="preserve">(1, 29) = 0.74,</w:t>
      </w:r>
      <w:r>
        <w:t xml:space="preserve"> </w:t>
      </w:r>
      <w:r>
        <w:rPr>
          <w:iCs/>
          <w:i/>
        </w:rPr>
        <w:t xml:space="preserve">p</w:t>
      </w:r>
      <w:r>
        <w:t xml:space="preserve"> </w:t>
      </w:r>
      <w:r>
        <w:t xml:space="preserve">= .398,</w:t>
      </w:r>
      <w:r>
        <w:t xml:space="preserve"> </w:t>
      </w:r>
      <m:oMath>
        <m:sSubSup>
          <m:e>
            <m:r>
              <m:t>η</m:t>
            </m:r>
          </m:e>
          <m:sub>
            <m:r>
              <m:t>p</m:t>
            </m:r>
          </m:sub>
          <m:sup>
            <m:r>
              <m:t>2</m:t>
            </m:r>
          </m:sup>
        </m:sSubSup>
      </m:oMath>
      <w:r>
        <w:t xml:space="preserve"> </w:t>
      </w:r>
      <w:r>
        <w:t xml:space="preserve">= .02, BF</w:t>
      </w:r>
      <w:r>
        <w:rPr>
          <w:vertAlign w:val="subscript"/>
        </w:rPr>
        <w:t xml:space="preserve">10</w:t>
      </w:r>
      <w:r>
        <w:t xml:space="preserve"> </w:t>
      </w:r>
      <w:r>
        <w:t xml:space="preserve">= 0.36 ± 2.23%,</w:t>
      </w:r>
      <w:r>
        <w:t xml:space="preserve"> </w:t>
      </w:r>
      <w:r>
        <w:rPr>
          <w:iCs/>
          <w:i/>
        </w:rPr>
        <w:t xml:space="preserve">congruence</w:t>
      </w:r>
      <w:r>
        <w:t xml:space="preserve">:</w:t>
      </w:r>
      <w:r>
        <w:t xml:space="preserve"> </w:t>
      </w:r>
      <w:r>
        <w:rPr>
          <w:iCs/>
          <w:i/>
        </w:rPr>
        <w:t xml:space="preserve">F</w:t>
      </w:r>
      <w:r>
        <w:t xml:space="preserve">(1, 29) = 2.80,</w:t>
      </w:r>
      <w:r>
        <w:t xml:space="preserve"> </w:t>
      </w:r>
      <w:r>
        <w:rPr>
          <w:iCs/>
          <w:i/>
        </w:rPr>
        <w:t xml:space="preserve">p</w:t>
      </w:r>
      <w:r>
        <w:t xml:space="preserve"> </w:t>
      </w:r>
      <w:r>
        <w:t xml:space="preserve">= .105,</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0.28 ± 7.47%, and no interaction</w:t>
      </w:r>
      <w:r>
        <w:t xml:space="preserve"> </w:t>
      </w:r>
      <w:r>
        <w:rPr>
          <w:iCs/>
          <w:i/>
        </w:rPr>
        <w:t xml:space="preserve">group x predictiveness</w:t>
      </w:r>
      <w:r>
        <w:t xml:space="preserve">: , BF</w:t>
      </w:r>
      <w:r>
        <w:rPr>
          <w:vertAlign w:val="subscript"/>
        </w:rPr>
        <w:t xml:space="preserve">10</w:t>
      </w:r>
      <w:r>
        <w:t xml:space="preserve"> </w:t>
      </w:r>
      <w:r>
        <w:t xml:space="preserve">= 0.23 ± 17.65%). However, for group High there was a significant effect of</w:t>
      </w:r>
      <w:r>
        <w:t xml:space="preserve"> </w:t>
      </w:r>
      <w:r>
        <w:rPr>
          <w:iCs/>
          <w:i/>
        </w:rPr>
        <w:t xml:space="preserve">predictiveness</w:t>
      </w:r>
      <w:r>
        <w:t xml:space="preserve">,</w:t>
      </w:r>
      <w:r>
        <w:t xml:space="preserve"> </w:t>
      </w:r>
      <w:r>
        <w:rPr>
          <w:iCs/>
          <w:i/>
        </w:rPr>
        <w:t xml:space="preserve">F</w:t>
      </w:r>
      <w:r>
        <w:t xml:space="preserve">(1, 26) = 7.71,</w:t>
      </w:r>
      <w:r>
        <w:t xml:space="preserve"> </w:t>
      </w:r>
      <w:r>
        <w:rPr>
          <w:iCs/>
          <w:i/>
        </w:rPr>
        <w:t xml:space="preserve">p</w:t>
      </w:r>
      <w:r>
        <w:t xml:space="preserve"> </w:t>
      </w:r>
      <w:r>
        <w:t xml:space="preserve">= .010,</w:t>
      </w:r>
      <w:r>
        <w:t xml:space="preserve"> </w:t>
      </w:r>
      <m:oMath>
        <m:sSubSup>
          <m:e>
            <m:r>
              <m:t>η</m:t>
            </m:r>
          </m:e>
          <m:sub>
            <m:r>
              <m:t>p</m:t>
            </m:r>
          </m:sub>
          <m:sup>
            <m:r>
              <m:t>2</m:t>
            </m:r>
          </m:sup>
        </m:sSubSup>
      </m:oMath>
      <w:r>
        <w:t xml:space="preserve"> </w:t>
      </w:r>
      <w:r>
        <w:t xml:space="preserve">= .23, BF</w:t>
      </w:r>
      <w:r>
        <w:rPr>
          <w:vertAlign w:val="subscript"/>
        </w:rPr>
        <w:t xml:space="preserve">10</w:t>
      </w:r>
      <w:r>
        <w:t xml:space="preserve"> </w:t>
      </w:r>
      <w:r>
        <w:t xml:space="preserve">= 82.6 ± 7.54%, but no effect of</w:t>
      </w:r>
      <w:r>
        <w:t xml:space="preserve"> </w:t>
      </w:r>
      <w:r>
        <w:rPr>
          <w:iCs/>
          <w:i/>
        </w:rPr>
        <w:t xml:space="preserve">congruence</w:t>
      </w:r>
      <w:r>
        <w:t xml:space="preserve">,</w:t>
      </w:r>
      <w:r>
        <w:t xml:space="preserve"> </w:t>
      </w:r>
      <w:r>
        <w:rPr>
          <w:iCs/>
          <w:i/>
        </w:rPr>
        <w:t xml:space="preserve">F</w:t>
      </w:r>
      <w:r>
        <w:t xml:space="preserve">(1, 26) = 1.87,</w:t>
      </w:r>
      <w:r>
        <w:t xml:space="preserve"> </w:t>
      </w:r>
      <w:r>
        <w:rPr>
          <w:iCs/>
          <w:i/>
        </w:rPr>
        <w:t xml:space="preserve">p</w:t>
      </w:r>
      <w:r>
        <w:t xml:space="preserve"> </w:t>
      </w:r>
      <w:r>
        <w:t xml:space="preserve">= .183,</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0.28 ± 2.06%, and no interaction, , BF</w:t>
      </w:r>
      <w:r>
        <w:rPr>
          <w:vertAlign w:val="subscript"/>
        </w:rPr>
        <w:t xml:space="preserve">10</w:t>
      </w:r>
      <w:r>
        <w:t xml:space="preserve"> </w:t>
      </w:r>
      <w:r>
        <w:t xml:space="preserve">= 0.24 ± 8.19%. These results indicate that the only group that had a better memory for predictive stimuli over non-predictive stimuli was the High similarity group, irrespective of the congruence between foil and target in test.</w:t>
      </w:r>
    </w:p>
    <w:bookmarkEnd w:id="69"/>
    <w:bookmarkStart w:id="70" w:name="discussion"/>
    <w:p>
      <w:pPr>
        <w:pStyle w:val="Heading2"/>
      </w:pPr>
      <w:r>
        <w:t xml:space="preserve">Discussion</w:t>
      </w:r>
    </w:p>
    <w:p>
      <w:pPr>
        <w:pStyle w:val="FirstParagraph"/>
      </w:pPr>
      <w:r>
        <w:t xml:space="preserve">Experiment 1 aimed to find the best way to examine the memory for predictive and non-predictive cues. Two different tests were used, both involving the presentation of a target (a previously trained cue) and a foil (a novel cue), which had colour swaps for some elements of the stimulus. In the first test, the foil was the same shape as the target while in the second test, the foil was taken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further analysis showed that only the High similarity group (in which the colours changed in two out of the six circles) showed an effect of cue-predictiveness on recognition memory.</w:t>
      </w:r>
    </w:p>
    <w:p>
      <w:pPr>
        <w:pStyle w:val="BodyText"/>
      </w:pPr>
      <w:r>
        <w:t xml:space="preserve">Is worth noting that the present results conflict with the findings of Griffiths and Mitchell</w:t>
      </w:r>
      <w:r>
        <w:t xml:space="preserve"> </w:t>
      </w:r>
      <w:r>
        <w:t xml:space="preserve">(2008)</w:t>
      </w:r>
      <w:r>
        <w:t xml:space="preserve">, who also used a recognition memory test as a measure of cue processing. Experiment 4 of their study used a learned predictiveness design adapted from Le Pelley and McLaren</w:t>
      </w:r>
      <w:r>
        <w:t xml:space="preserve"> </w:t>
      </w:r>
      <w:r>
        <w:t xml:space="preserve">(2003)</w:t>
      </w:r>
      <w:r>
        <w:t xml:space="preserve">, and similar in nature to the design of Experiment 1, yet they did not observe differences in the recognition performance for predictive and non-predictive cues. There are two main procedural differences between the current Experiment 1 and Experiment 4 of Griffiths and Mitchell</w:t>
      </w:r>
      <w:r>
        <w:t xml:space="preserve"> </w:t>
      </w:r>
      <w:r>
        <w:t xml:space="preserve">(2008)</w:t>
      </w:r>
      <w:r>
        <w:t xml:space="preserve">. First, their experimental task involved learning about categories of food, with each stimulus being presented just once, whereas in our task, the same set of four stimuli was repeatedly presented during training. Second, their learned predictiveness task consisted of two phases: the first phase was similar to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valid predictors of the outcomes.</w:t>
      </w:r>
    </w:p>
    <w:p>
      <w:pPr>
        <w:pStyle w:val="BodyText"/>
      </w:pPr>
      <w:r>
        <w:t xml:space="preserve">Somewhat surprisingly there was no effect of foil-to-cue congruence in the data, with the predictiveness effect seemingly being observed both when the pairs of stimuli were congruent in their predictiveness (i.e., P-Con; NP-Con) and incongruent (i.e., P-Incon; NP-Incon). This is surprising, because there are seemingly different sources of memory that might contribute to these two trial types. Take for example the two trial types where the NP cue is the target stimulus. On NP-Con trials, the participant must rely on their memory of only NP cues to make a response, while on</w:t>
      </w:r>
      <w:r>
        <w:t xml:space="preserve"> </w:t>
      </w:r>
      <w:r>
        <w:t xml:space="preserve">“</w:t>
      </w:r>
      <w:r>
        <w:t xml:space="preserve">NP-Incon</w:t>
      </w:r>
      <w:r>
        <w:t xml:space="preserve">”</w:t>
      </w:r>
      <w:r>
        <w:t xml:space="preserve"> </w:t>
      </w:r>
      <w:r>
        <w:t xml:space="preserve">trials, the participant should be able to use their (presumably better) memory about P cues to detect the P foil. In principle, this should lead to better performance on the NP-Incon trials compared to NP-Con trials: this was clearly not the case. The critical factor in determining memory scores is whether the</w:t>
      </w:r>
      <w:r>
        <w:t xml:space="preserve"> </w:t>
      </w:r>
      <w:r>
        <w:t xml:space="preserve">“</w:t>
      </w:r>
      <w:r>
        <w:t xml:space="preserve">P cue</w:t>
      </w:r>
      <w:r>
        <w:t xml:space="preserve">”</w:t>
      </w:r>
      <w:r>
        <w:t xml:space="preserve">was the target or the foil on the given trial:</w:t>
      </w:r>
      <w:r>
        <w:t xml:space="preserve"> </w:t>
      </w:r>
      <w:r>
        <w:t xml:space="preserve">“</w:t>
      </w:r>
      <w:r>
        <w:t xml:space="preserve">P-Incon</w:t>
      </w:r>
      <w:r>
        <w:t xml:space="preserve">”</w:t>
      </w:r>
      <w:r>
        <w:t xml:space="preserve"> </w:t>
      </w:r>
      <w:r>
        <w:t xml:space="preserve">trials are performed better than</w:t>
      </w:r>
      <w:r>
        <w:t xml:space="preserve"> </w:t>
      </w:r>
      <w:r>
        <w:t xml:space="preserve">“</w:t>
      </w:r>
      <w:r>
        <w:t xml:space="preserve">NP-Incon</w:t>
      </w:r>
      <w:r>
        <w:t xml:space="preserve">”</w:t>
      </w:r>
      <w:r>
        <w:t xml:space="preserve"> </w:t>
      </w:r>
      <w:r>
        <w:t xml:space="preserve">trials. It is possible that there is strong generalisation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bookmarkEnd w:id="70"/>
    <w:bookmarkEnd w:id="71"/>
    <w:bookmarkStart w:id="89" w:name="experiment-2"/>
    <w:p>
      <w:pPr>
        <w:pStyle w:val="Heading1"/>
      </w:pPr>
      <w:r>
        <w:t xml:space="preserve">Experiment 2</w:t>
      </w:r>
    </w:p>
    <w:p>
      <w:pPr>
        <w:pStyle w:val="FirstParagraph"/>
      </w:pPr>
      <w:r>
        <w:t xml:space="preserve">Experiment 2 aimed to examine the differences in recognition memory in a learned predictiveness procedure under certain and uncertain cue-outcome contingency conditions. Two groups were trained, one with a perfect contingency between the predictive cues and their paired outcome (Group Certain) - reproducing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w:t>
      </w:r>
      <w:r>
        <w:t xml:space="preserve"> </w:t>
      </w:r>
      <w:r>
        <w:t xml:space="preserve">“</w:t>
      </w:r>
      <w:r>
        <w:t xml:space="preserve">High</w:t>
      </w:r>
      <w:r>
        <w:t xml:space="preserve">”</w:t>
      </w:r>
      <w:r>
        <w:t xml:space="preserve"> </w:t>
      </w:r>
      <w:r>
        <w:t xml:space="preserve">similarity stimuli from Experiment 1, since it was only in these stimuli that a difference in memory performance between predictive and non-predictive stimuli was established.</w:t>
      </w:r>
    </w:p>
    <w:p>
      <w:pPr>
        <w:pStyle w:val="BodyText"/>
      </w:pPr>
      <w:r>
        <w:t xml:space="preserve">The design of Experiment 2 can be seen in</w:t>
      </w:r>
      <w:r>
        <w:t xml:space="preserve"> </w:t>
      </w:r>
      <w:hyperlink w:anchor="tbl-exp2">
        <w:r>
          <w:rPr>
            <w:rStyle w:val="Hyperlink"/>
          </w:rPr>
          <w:t xml:space="preserve">Table 2</w:t>
        </w:r>
      </w:hyperlink>
      <w:r>
        <w:t xml:space="preserve">. Previous experiments have established that for uncertain contingencies, participants spend longer attending to (looking at) all cues compared to attention to cues in certain contingencies</w:t>
      </w:r>
      <w:r>
        <w:t xml:space="preserve"> </w:t>
      </w:r>
      <w:r>
        <w:t xml:space="preserve">(Beesley et al., 2015; Easdale et al., 2019; Walker et al., 2022)</w:t>
      </w:r>
      <w:r>
        <w:t xml:space="preserve">. Experiment 2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on the basis of the results of Experiment 1, we anticipate seeing superior memory scores for the predictive than the non-predictive cues in group Certain.</w:t>
      </w:r>
    </w:p>
    <w:bookmarkStart w:id="72" w:name="tbl-exp2"/>
    <w:p>
      <w:pPr>
        <w:pStyle w:val="FigureTitle"/>
      </w:pPr>
      <w:r>
        <w:t xml:space="preserve">Table 2</w:t>
      </w:r>
    </w:p>
    <w:p>
      <w:pPr>
        <w:pStyle w:val="Caption"/>
      </w:pPr>
      <w:r>
        <w:t xml:space="preserve">Design of Experiment 2</w:t>
      </w:r>
    </w:p>
    <w:tbl>
      <w:tblPr>
        <w:tblStyle w:val="Table"/>
        <w:tblW w:type="pct" w:w="4306"/>
        <w:tblLook w:firstRow="1" w:lastRow="0" w:firstColumn="0" w:lastColumn="0" w:noHBand="0" w:noVBand="0" w:val="0020"/>
        <w:jc w:val="start"/>
        <w:tblLayout w:type="fixed"/>
      </w:tblPr>
      <w:tblGrid>
        <w:gridCol w:w="1650"/>
        <w:gridCol w:w="3080"/>
        <w:gridCol w:w="2090"/>
      </w:tblGrid>
      <w:tr>
        <w:trPr>
          <w:tblHeader w:val="true"/>
        </w:trPr>
        <w:tc>
          <w:tcPr/>
          <w:p>
            <w:pPr>
              <w:pStyle w:val="Compact"/>
              <w:jc w:val="left"/>
            </w:pPr>
            <w:r>
              <w:t xml:space="preserve">Group</w:t>
            </w:r>
          </w:p>
        </w:tc>
        <w:tc>
          <w:tcPr/>
          <w:p>
            <w:pPr>
              <w:pStyle w:val="Compact"/>
              <w:jc w:val="center"/>
            </w:pPr>
            <w:r>
              <w:t xml:space="preserve">Training</w:t>
            </w:r>
          </w:p>
        </w:tc>
        <w:tc>
          <w:tcPr/>
          <w:p>
            <w:pPr>
              <w:pStyle w:val="Compact"/>
              <w:jc w:val="center"/>
            </w:pPr>
            <w:r>
              <w:t xml:space="preserve">Test</w:t>
            </w:r>
          </w:p>
        </w:tc>
      </w:tr>
      <w:tr>
        <w:tc>
          <w:tcPr/>
          <w:p>
            <w:pPr>
              <w:pStyle w:val="Compact"/>
              <w:jc w:val="left"/>
            </w:pPr>
            <w:r>
              <w:t xml:space="preserve">Certain</w:t>
            </w:r>
          </w:p>
        </w:tc>
        <w:tc>
          <w:tcPr/>
          <w:p>
            <w:pPr>
              <w:pStyle w:val="FigureWithNote"/>
              <w:jc w:val="center"/>
            </w:pPr>
            <w:r>
              <w:t xml:space="preserve">AX - O1</w:t>
            </w:r>
          </w:p>
          <w:p>
            <w:pPr>
              <w:pStyle w:val="FigureWithNote"/>
              <w:jc w:val="center"/>
            </w:pPr>
            <w:r>
              <w:t xml:space="preserve">AY - O1</w:t>
            </w:r>
          </w:p>
          <w:p>
            <w:pPr>
              <w:pStyle w:val="FigureWithNote"/>
              <w:jc w:val="center"/>
            </w:pPr>
            <w:r>
              <w:t xml:space="preserve">BX - O2</w:t>
            </w:r>
          </w:p>
          <w:p>
            <w:pPr>
              <w:pStyle w:val="FigureWithNote"/>
              <w:jc w:val="center"/>
            </w:pPr>
            <w:r>
              <w:t xml:space="preserve">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72"/>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bookmarkStart w:id="78" w:name="methods-1"/>
    <w:p>
      <w:pPr>
        <w:pStyle w:val="Heading2"/>
      </w:pPr>
      <w:r>
        <w:t xml:space="preserve">Methods</w:t>
      </w:r>
    </w:p>
    <w:bookmarkStart w:id="74" w:name="participants-1"/>
    <w:p>
      <w:pPr>
        <w:pStyle w:val="Heading3"/>
      </w:pPr>
      <w:r>
        <w:t xml:space="preserve">Participants</w:t>
      </w:r>
    </w:p>
    <w:p>
      <w:pPr>
        <w:pStyle w:val="FirstParagraph"/>
      </w:pPr>
      <w:r>
        <w:t xml:space="preserve">98 participants were recruited through Prolific. The sample consisted of 34 females, 63 males and one non-binary person, with 20 different nationalities. The mean age was 32.1 calculated for the 95 participants that reported their age (range 18 - 71. The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to either the Certain or Uncertain condition. Four participants were excluded due to failing the comprehension check before the test (three in group Certain and one in group Uncertain). Following Le Pelley &amp; McLaren [2003; see also</w:t>
      </w:r>
      <w:r>
        <w:t xml:space="preserve"> </w:t>
      </w:r>
      <w:r>
        <w:t xml:space="preserve">(</w:t>
      </w:r>
      <w:r>
        <w:rPr>
          <w:bCs/>
          <w:b/>
        </w:rPr>
        <w:t xml:space="preserve">lepelleyLearnedPredictivenessInfluences2013?</w:t>
      </w:r>
      <w:r>
        <w:t xml:space="preserve">)</w:t>
      </w:r>
      <w:r>
        <w:t xml:space="preserve">], 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Pr>
          <w:rStyle w:val="FootnoteReference"/>
        </w:rPr>
        <w:footnoteReference w:id="73"/>
      </w:r>
      <w:r>
        <w:t xml:space="preserve">.</w:t>
      </w:r>
      <w:r>
        <w:t xml:space="preserve"> </w:t>
      </w:r>
      <w:r>
        <w:t xml:space="preserve">Post-hoc calculations using G*Power 3.1</w:t>
      </w:r>
      <w:r>
        <w:t xml:space="preserve"> </w:t>
      </w:r>
      <w:r>
        <w:t xml:space="preserve">(Faul et al., 2007)</w:t>
      </w:r>
      <w:r>
        <w:t xml:space="preserve"> </w:t>
      </w:r>
      <w:r>
        <w:t xml:space="preserve">revealed that this sample size had a power of .99 to detect an effect size of η</w:t>
      </w:r>
      <w:r>
        <w:rPr>
          <w:vertAlign w:val="subscript"/>
        </w:rPr>
        <w:t xml:space="preserve">p</w:t>
      </w:r>
      <w:r>
        <w:rPr>
          <w:vertAlign w:val="superscript"/>
        </w:rPr>
        <w:t xml:space="preserve">2</w:t>
      </w:r>
      <w:r>
        <w:t xml:space="preserve"> </w:t>
      </w:r>
      <w:r>
        <w:t xml:space="preserve">= .06 that was observed for the</w:t>
      </w:r>
      <w:r>
        <w:t xml:space="preserve"> </w:t>
      </w:r>
      <w:r>
        <w:rPr>
          <w:iCs/>
          <w:i/>
        </w:rPr>
        <w:t xml:space="preserve">group x predictiveness</w:t>
      </w:r>
      <w:r>
        <w:t xml:space="preserve"> </w:t>
      </w:r>
      <w:r>
        <w:t xml:space="preserve">interaction reported in</w:t>
      </w:r>
      <w:r>
        <w:t xml:space="preserve"> </w:t>
      </w:r>
      <w:hyperlink w:anchor="fig-testExp2">
        <w:r>
          <w:rPr>
            <w:rStyle w:val="Hyperlink"/>
          </w:rPr>
          <w:t xml:space="preserve">Figure 8</w:t>
        </w:r>
      </w:hyperlink>
      <w:r>
        <w:t xml:space="preserve">.</w:t>
      </w:r>
    </w:p>
    <w:bookmarkEnd w:id="74"/>
    <w:bookmarkStart w:id="75" w:name="apparatus-and-stimuli-1"/>
    <w:p>
      <w:pPr>
        <w:pStyle w:val="Heading3"/>
      </w:pPr>
      <w:r>
        <w:t xml:space="preserve">Apparatus and stimuli</w:t>
      </w:r>
    </w:p>
    <w:p>
      <w:pPr>
        <w:pStyle w:val="FirstParagraph"/>
      </w:pPr>
      <w:r>
        <w:t xml:space="preserve">The materials used for Experiment 2 were the same as in Experiment 1, with the stimuli taken from the High similarity group of the previous experiment.</w:t>
      </w:r>
    </w:p>
    <w:bookmarkEnd w:id="75"/>
    <w:bookmarkStart w:id="76" w:name="design-1"/>
    <w:p>
      <w:pPr>
        <w:pStyle w:val="Heading3"/>
      </w:pPr>
      <w:r>
        <w:t xml:space="preserve">Design</w:t>
      </w:r>
    </w:p>
    <w:p>
      <w:pPr>
        <w:pStyle w:val="FirstParagraph"/>
      </w:pPr>
      <w:r>
        <w:t xml:space="preserve">The design of Experiment 2 is shown in</w:t>
      </w:r>
      <w:r>
        <w:t xml:space="preserve"> </w:t>
      </w:r>
      <w:hyperlink w:anchor="tbl-exp2">
        <w:r>
          <w:rPr>
            <w:rStyle w:val="Hyperlink"/>
          </w:rPr>
          <w:t xml:space="preserve">Table 2</w:t>
        </w:r>
      </w:hyperlink>
      <w:r>
        <w:t xml:space="preserve">.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w:t>
      </w:r>
      <w:r>
        <w:t xml:space="preserve"> </w:t>
      </w:r>
      <w:r>
        <w:t xml:space="preserve">“</w:t>
      </w:r>
      <w:r>
        <w:t xml:space="preserve">correct</w:t>
      </w:r>
      <w:r>
        <w:t xml:space="preserve">”</w:t>
      </w:r>
      <w:r>
        <w:t xml:space="preserve"> </w:t>
      </w:r>
      <w:r>
        <w:t xml:space="preserve">(e.g., AX-O1) and for one of these trials the alternative outcome was</w:t>
      </w:r>
      <w:r>
        <w:t xml:space="preserve"> </w:t>
      </w:r>
      <w:r>
        <w:t xml:space="preserve">“</w:t>
      </w:r>
      <w:r>
        <w:t xml:space="preserve">correct</w:t>
      </w:r>
      <w:r>
        <w:t xml:space="preserve">”</w:t>
      </w:r>
      <w:r>
        <w:t xml:space="preserve"> </w:t>
      </w:r>
      <w:r>
        <w:t xml:space="preserve">(e.g., AX-O2). Cues X and Y were perfectly non-predictive in the two groups. The training phase of this experiment consisted of eight blocks, resulting in a total of 160 trials. Training was followed by a test identical to Test 2 of Experiment 1.</w:t>
      </w:r>
    </w:p>
    <w:bookmarkEnd w:id="76"/>
    <w:bookmarkStart w:id="77" w:name="procedure-1"/>
    <w:p>
      <w:pPr>
        <w:pStyle w:val="Heading3"/>
      </w:pPr>
      <w:r>
        <w:t xml:space="preserve">Procedure</w:t>
      </w:r>
    </w:p>
    <w:p>
      <w:pPr>
        <w:pStyle w:val="FirstParagraph"/>
      </w:pPr>
      <w:r>
        <w:t xml:space="preserve">The procedure for both the training and test phases was identical to those described in Experiment 1.</w:t>
      </w:r>
    </w:p>
    <w:bookmarkEnd w:id="77"/>
    <w:bookmarkEnd w:id="78"/>
    <w:bookmarkStart w:id="87" w:name="results-1"/>
    <w:p>
      <w:pPr>
        <w:pStyle w:val="Heading2"/>
      </w:pPr>
      <w:r>
        <w:t xml:space="preserve">Results</w:t>
      </w:r>
    </w:p>
    <w:p>
      <w:pPr>
        <w:pStyle w:val="FirstParagraph"/>
      </w:pPr>
      <w:r>
        <w:t xml:space="preserve">For the training phase, it was necessary to calculate response performance in a different manner in this experiment, since participants in the uncertain condition received trials in which the</w:t>
      </w:r>
      <w:r>
        <w:t xml:space="preserve"> </w:t>
      </w:r>
      <w:r>
        <w:t xml:space="preserve">“</w:t>
      </w:r>
      <w:r>
        <w:t xml:space="preserve">correct</w:t>
      </w:r>
      <w:r>
        <w:t xml:space="preserve">”</w:t>
      </w:r>
      <w:r>
        <w:t xml:space="preserve"> </w:t>
      </w:r>
      <w:r>
        <w:t xml:space="preserve">outcome was switched on 20% of the trials. Thus, even if participants in group Uncertain were to always select the most probable outcome (O1 when A is present and O2 when B is present), it would result in an accuracy score of 80%. Thus, we calculated the proportion of 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pPr>
        <w:pStyle w:val="BodyText"/>
      </w:pPr>
      <w:hyperlink w:anchor="fig-trainingExp2">
        <w:r>
          <w:rPr>
            <w:rStyle w:val="Hyperlink"/>
          </w:rPr>
          <w:t xml:space="preserve">Figure 7</w:t>
        </w:r>
      </w:hyperlink>
      <w:r>
        <w:t xml:space="preserve"> </w:t>
      </w:r>
      <w:r>
        <w:t xml:space="preserve">shows the mean PPR across blocks for each group. Participants in the Certain group showed higher PPR through training than the Uncertain group, reaching a PPR of 0.92 on block 8. The Uncertain group showed a slower increase in their PPR that reached 0.77 in block 8.</w:t>
      </w:r>
    </w:p>
    <w:p>
      <w:pPr>
        <w:pStyle w:val="SourceCode"/>
      </w:pPr>
      <w:r>
        <w:rPr>
          <w:rStyle w:val="VerbatimChar"/>
        </w:rPr>
        <w:t xml:space="preserve">Scale for x is already present.</w:t>
      </w:r>
      <w:r>
        <w:br/>
      </w:r>
      <w:r>
        <w:rPr>
          <w:rStyle w:val="VerbatimChar"/>
        </w:rPr>
        <w:t xml:space="preserve">Adding another scale for x, which will replace the existing scale.</w:t>
      </w:r>
    </w:p>
    <w:bookmarkStart w:id="82" w:name="fig-trainingExp2"/>
    <w:p>
      <w:pPr>
        <w:pStyle w:val="FigureTitle"/>
      </w:pPr>
      <w:r>
        <w:t xml:space="preserve">Figure 7</w:t>
      </w:r>
    </w:p>
    <w:p>
      <w:pPr>
        <w:pStyle w:val="Caption"/>
      </w:pPr>
      <w:r>
        <w:t xml:space="preserve">PPR on the training phase of Experiment 2.</w:t>
      </w:r>
    </w:p>
    <w:p>
      <w:pPr>
        <w:pStyle w:val="FigureWithNote"/>
      </w:pPr>
      <w:r>
        <w:drawing>
          <wp:inline>
            <wp:extent cx="5943600" cy="3657600"/>
            <wp:effectExtent b="0" l="0" r="0" t="0"/>
            <wp:docPr descr="" title="" id="80" name="Picture"/>
            <a:graphic>
              <a:graphicData uri="http://schemas.openxmlformats.org/drawingml/2006/picture">
                <pic:pic>
                  <pic:nvPicPr>
                    <pic:cNvPr descr="UNM_draft_files/figure-docx/fig-trainingExp2-1.png" id="81" name="Picture"/>
                    <pic:cNvPicPr>
                      <a:picLocks noChangeArrowheads="1" noChangeAspect="1"/>
                    </pic:cNvPicPr>
                  </pic:nvPicPr>
                  <pic:blipFill>
                    <a:blip r:embed="rId79"/>
                    <a:stretch>
                      <a:fillRect/>
                    </a:stretch>
                  </pic:blipFill>
                  <pic:spPr bwMode="auto">
                    <a:xfrm>
                      <a:off x="0" y="0"/>
                      <a:ext cx="5943600" cy="3657600"/>
                    </a:xfrm>
                    <a:prstGeom prst="rect">
                      <a:avLst/>
                    </a:prstGeom>
                    <a:noFill/>
                    <a:ln w="9525">
                      <a:noFill/>
                      <a:headEnd/>
                      <a:tailEnd/>
                    </a:ln>
                  </pic:spPr>
                </pic:pic>
              </a:graphicData>
            </a:graphic>
          </wp:inline>
        </w:drawing>
      </w:r>
    </w:p>
    <w:bookmarkEnd w:id="82"/>
    <w:p>
      <w:pPr>
        <w:pStyle w:val="FigureNote"/>
      </w:pPr>
      <w:r>
        <w:rPr>
          <w:iCs/>
          <w:i/>
        </w:rPr>
        <w:t xml:space="preserve">Note</w:t>
      </w:r>
      <w:r>
        <w:t xml:space="preserve">. Proportion of probable responses (±SEM) during the training phase of Experiment 2, for groups trained with certain and uncertain contingencies.</w:t>
      </w:r>
    </w:p>
    <w:p>
      <w:pPr>
        <w:pStyle w:val="BodyText"/>
      </w:pPr>
      <w:r>
        <w:t xml:space="preserve">A mixed model ANOVA found significant both main effects, of</w:t>
      </w:r>
      <w:r>
        <w:t xml:space="preserve"> </w:t>
      </w:r>
      <w:r>
        <w:rPr>
          <w:iCs/>
          <w:i/>
        </w:rPr>
        <w:t xml:space="preserve">group</w:t>
      </w:r>
      <w:r>
        <w:t xml:space="preserve">,</w:t>
      </w:r>
      <w:r>
        <w:t xml:space="preserve"> </w:t>
      </w:r>
      <w:r>
        <w:rPr>
          <w:iCs/>
          <w:i/>
        </w:rPr>
        <w:t xml:space="preserve">F</w:t>
      </w:r>
      <w:r>
        <w:t xml:space="preserve">(1, 73) = 19.52,</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.21, BF</w:t>
      </w:r>
      <w:r>
        <w:rPr>
          <w:vertAlign w:val="subscript"/>
        </w:rPr>
        <w:t xml:space="preserve">10</w:t>
      </w:r>
      <w:r>
        <w:t xml:space="preserve"> </w:t>
      </w:r>
      <w:r>
        <w:t xml:space="preserve">= 589.78 ± 6.1%, and of</w:t>
      </w:r>
      <w:r>
        <w:t xml:space="preserve"> </w:t>
      </w:r>
      <w:r>
        <w:rPr>
          <w:iCs/>
          <w:i/>
        </w:rPr>
        <w:t xml:space="preserve">block</w:t>
      </w:r>
      <w:r>
        <w:t xml:space="preserve">,</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2x10</w:t>
      </w:r>
      <w:r>
        <w:rPr>
          <w:vertAlign w:val="superscript"/>
        </w:rPr>
        <w:t xml:space="preserve">30</w:t>
      </w:r>
      <w:r>
        <w:t xml:space="preserve"> </w:t>
      </w:r>
      <w:r>
        <w:t xml:space="preserve">± 1.2%. There was no interaction effect between these factors,</w:t>
      </w:r>
      <w:r>
        <w:t xml:space="preserve"> </w:t>
      </w:r>
      <w:r>
        <w:rPr>
          <w:iCs/>
          <w:i/>
        </w:rPr>
        <w:t xml:space="preserve">F</w:t>
      </w:r>
      <w:r>
        <w:t xml:space="preserve">(5.26, 384.15) = 0.70,</w:t>
      </w:r>
      <w:r>
        <w:t xml:space="preserve"> </w:t>
      </w:r>
      <w:r>
        <w:rPr>
          <w:iCs/>
          <w:i/>
        </w:rPr>
        <w:t xml:space="preserve">p</w:t>
      </w:r>
      <w:r>
        <w:t xml:space="preserve"> </w:t>
      </w:r>
      <w:r>
        <w:t xml:space="preserve">= .628,</w:t>
      </w:r>
      <w:r>
        <w:t xml:space="preserve"> </w:t>
      </w:r>
      <m:oMath>
        <m:sSubSup>
          <m:e>
            <m:r>
              <m:t>η</m:t>
            </m:r>
          </m:e>
          <m:sub>
            <m:r>
              <m:t>p</m:t>
            </m:r>
          </m:sub>
          <m:sup>
            <m:r>
              <m:t>2</m:t>
            </m:r>
          </m:sup>
        </m:sSubSup>
      </m:oMath>
      <w:r>
        <w:t xml:space="preserve"> </w:t>
      </w:r>
      <w:r>
        <w:t xml:space="preserve">&lt; .01, with the Bayesian analysis providing strong evidence for the null hypothesis, BF</w:t>
      </w:r>
      <w:r>
        <w:rPr>
          <w:vertAlign w:val="subscript"/>
        </w:rPr>
        <w:t xml:space="preserve">10</w:t>
      </w:r>
      <w:r>
        <w:t xml:space="preserve"> </w:t>
      </w:r>
      <w:r>
        <w:t xml:space="preserve">= 0.02 ± 22.73%. These results indicate that the training increased the PPR for both groups, as the effect of block was significant, with the Certain group showing a consistently higher PPR than Uncertain group.</w:t>
      </w:r>
    </w:p>
    <w:p>
      <w:pPr>
        <w:pStyle w:val="BodyText"/>
      </w:pPr>
      <w:hyperlink w:anchor="fig-testExp2">
        <w:r>
          <w:rPr>
            <w:rStyle w:val="Hyperlink"/>
          </w:rPr>
          <w:t xml:space="preserve">Figure 8</w:t>
        </w:r>
      </w:hyperlink>
      <w:r>
        <w:t xml:space="preserve"> </w:t>
      </w:r>
      <w:r>
        <w:t xml:space="preserve">shows the data from the recognition memory test. The memory for non-predictive cues was lower than for the predictive cues in the Certain group. This difference was notably attenuated in in the Uncertain group, and there was no indication of higher memory scores in the uncertain group relative to the Certain group.</w:t>
      </w:r>
    </w:p>
    <w:bookmarkStart w:id="86" w:name="fig-testExp2"/>
    <w:p>
      <w:pPr>
        <w:pStyle w:val="FigureTitle"/>
      </w:pPr>
      <w:r>
        <w:t xml:space="preserve">Figure 8</w:t>
      </w:r>
    </w:p>
    <w:p>
      <w:pPr>
        <w:pStyle w:val="Caption"/>
      </w:pPr>
      <w:r>
        <w:t xml:space="preserve">Memory scores on the Test of Experiment 2.</w:t>
      </w:r>
    </w:p>
    <w:p>
      <w:pPr>
        <w:pStyle w:val="FigureWithNote"/>
      </w:pPr>
      <w:r>
        <w:drawing>
          <wp:inline>
            <wp:extent cx="5943600" cy="3657600"/>
            <wp:effectExtent b="0" l="0" r="0" t="0"/>
            <wp:docPr descr="" title="" id="84" name="Picture"/>
            <a:graphic>
              <a:graphicData uri="http://schemas.openxmlformats.org/drawingml/2006/picture">
                <pic:pic>
                  <pic:nvPicPr>
                    <pic:cNvPr descr="UNM_draft_files/figure-docx/fig-testExp2-1.png" id="85" name="Picture"/>
                    <pic:cNvPicPr>
                      <a:picLocks noChangeArrowheads="1" noChangeAspect="1"/>
                    </pic:cNvPicPr>
                  </pic:nvPicPr>
                  <pic:blipFill>
                    <a:blip r:embed="rId83"/>
                    <a:stretch>
                      <a:fillRect/>
                    </a:stretch>
                  </pic:blipFill>
                  <pic:spPr bwMode="auto">
                    <a:xfrm>
                      <a:off x="0" y="0"/>
                      <a:ext cx="5943600" cy="3657600"/>
                    </a:xfrm>
                    <a:prstGeom prst="rect">
                      <a:avLst/>
                    </a:prstGeom>
                    <a:noFill/>
                    <a:ln w="9525">
                      <a:noFill/>
                      <a:headEnd/>
                      <a:tailEnd/>
                    </a:ln>
                  </pic:spPr>
                </pic:pic>
              </a:graphicData>
            </a:graphic>
          </wp:inline>
        </w:drawing>
      </w:r>
    </w:p>
    <w:bookmarkEnd w:id="86"/>
    <w:p>
      <w:pPr>
        <w:pStyle w:val="FigureNote"/>
      </w:pPr>
      <w:r>
        <w:rPr>
          <w:iCs/>
          <w:i/>
        </w:rPr>
        <w:t xml:space="preserve">Note</w:t>
      </w:r>
      <w:r>
        <w:t xml:space="preserve">. Mean memory scores (±SEM) on Test of Experiment 2 for predictive and non-predictive trials in the Certain and Uncertain groups.</w:t>
      </w:r>
    </w:p>
    <w:p>
      <w:pPr>
        <w:pStyle w:val="BodyText"/>
      </w:pPr>
      <w:r>
        <w:t xml:space="preserve">A mixed model ANOVA showed a significant main effect of</w:t>
      </w:r>
      <w:r>
        <w:t xml:space="preserve"> </w:t>
      </w:r>
      <w:r>
        <w:rPr>
          <w:iCs/>
          <w:i/>
        </w:rPr>
        <w:t xml:space="preserve">predictiveness</w:t>
      </w:r>
      <w:r>
        <w:t xml:space="preserve">, with moderate Bayesian evidence,</w:t>
      </w:r>
      <w:r>
        <w:t xml:space="preserve"> </w:t>
      </w:r>
      <w:r>
        <w:rPr>
          <w:iCs/>
          <w:i/>
        </w:rPr>
        <w:t xml:space="preserve">F</w:t>
      </w:r>
      <w:r>
        <w:t xml:space="preserve">(1, 73) = 6.57,</w:t>
      </w:r>
      <w:r>
        <w:t xml:space="preserve"> </w:t>
      </w:r>
      <w:r>
        <w:rPr>
          <w:iCs/>
          <w:i/>
        </w:rPr>
        <w:t xml:space="preserve">p</w:t>
      </w:r>
      <w:r>
        <w:t xml:space="preserve"> </w:t>
      </w:r>
      <w:r>
        <w:t xml:space="preserve">= .012,</w:t>
      </w:r>
      <w:r>
        <w:t xml:space="preserve"> </w:t>
      </w:r>
      <m:oMath>
        <m:sSubSup>
          <m:e>
            <m:r>
              <m:t>η</m:t>
            </m:r>
          </m:e>
          <m:sub>
            <m:r>
              <m:t>p</m:t>
            </m:r>
          </m:sub>
          <m:sup>
            <m:r>
              <m:t>2</m:t>
            </m:r>
          </m:sup>
        </m:sSubSup>
      </m:oMath>
      <w:r>
        <w:t xml:space="preserve"> </w:t>
      </w:r>
      <w:r>
        <w:t xml:space="preserve">= .08, BF</w:t>
      </w:r>
      <w:r>
        <w:rPr>
          <w:vertAlign w:val="subscript"/>
        </w:rPr>
        <w:t xml:space="preserve">10</w:t>
      </w:r>
      <w:r>
        <w:t xml:space="preserve"> </w:t>
      </w:r>
      <w:r>
        <w:t xml:space="preserve">= 3.87 ± 4.54% and a significant</w:t>
      </w:r>
      <w:r>
        <w:t xml:space="preserve"> </w:t>
      </w:r>
      <w:r>
        <w:rPr>
          <w:iCs/>
          <w:i/>
        </w:rPr>
        <w:t xml:space="preserve">group x predictiveness</w:t>
      </w:r>
      <w:r>
        <w:t xml:space="preserve"> </w:t>
      </w:r>
      <w:r>
        <w:t xml:space="preserve">interaction, with anecdotal Bayesian evidence,</w:t>
      </w:r>
      <w:r>
        <w:t xml:space="preserve"> </w:t>
      </w:r>
      <w:r>
        <w:rPr>
          <w:iCs/>
          <w:i/>
        </w:rPr>
        <w:t xml:space="preserve">F</w:t>
      </w:r>
      <w:r>
        <w:t xml:space="preserve">(1, 73) = 4.65,</w:t>
      </w:r>
      <w:r>
        <w:t xml:space="preserve"> </w:t>
      </w:r>
      <w:r>
        <w:rPr>
          <w:iCs/>
          <w:i/>
        </w:rPr>
        <w:t xml:space="preserve">p</w:t>
      </w:r>
      <w:r>
        <w:t xml:space="preserve"> </w:t>
      </w:r>
      <w:r>
        <w:t xml:space="preserve">= .034,</w:t>
      </w:r>
      <w:r>
        <w:t xml:space="preserve"> </w:t>
      </w:r>
      <m:oMath>
        <m:sSubSup>
          <m:e>
            <m:r>
              <m:t>η</m:t>
            </m:r>
          </m:e>
          <m:sub>
            <m:r>
              <m:t>p</m:t>
            </m:r>
          </m:sub>
          <m:sup>
            <m:r>
              <m:t>2</m:t>
            </m:r>
          </m:sup>
        </m:sSubSup>
      </m:oMath>
      <w:r>
        <w:t xml:space="preserve"> </w:t>
      </w:r>
      <w:r>
        <w:t xml:space="preserve">= .06, BF</w:t>
      </w:r>
      <w:r>
        <w:rPr>
          <w:vertAlign w:val="subscript"/>
        </w:rPr>
        <w:t xml:space="preserve">10</w:t>
      </w:r>
      <w:r>
        <w:t xml:space="preserve"> </w:t>
      </w:r>
      <w:r>
        <w:t xml:space="preserve">= 1.84 ± 10.85%. However, the</w:t>
      </w:r>
      <w:r>
        <w:t xml:space="preserve"> </w:t>
      </w:r>
      <w:r>
        <w:rPr>
          <w:iCs/>
          <w:i/>
        </w:rPr>
        <w:t xml:space="preserve">group</w:t>
      </w:r>
      <w:r>
        <w:t xml:space="preserve"> </w:t>
      </w:r>
      <w:r>
        <w:t xml:space="preserve">effect was not significant and the evidence for the null hypothesis was moderate,</w:t>
      </w:r>
      <w:r>
        <w:t xml:space="preserve"> </w:t>
      </w:r>
      <w:r>
        <w:rPr>
          <w:iCs/>
          <w:i/>
        </w:rPr>
        <w:t xml:space="preserve">F</w:t>
      </w:r>
      <w:r>
        <w:t xml:space="preserve">(1, 73) = 0.14,</w:t>
      </w:r>
      <w:r>
        <w:t xml:space="preserve"> </w:t>
      </w:r>
      <w:r>
        <w:rPr>
          <w:iCs/>
          <w:i/>
        </w:rPr>
        <w:t xml:space="preserve">p</w:t>
      </w:r>
      <w:r>
        <w:t xml:space="preserve"> </w:t>
      </w:r>
      <w:r>
        <w:t xml:space="preserve">= .712,</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0.29 ± 4.22%. Bonferroni-corrected pairwise comparisons showed that there was a significant difference between predictive and non-predictive cues in the Certain group,</w:t>
      </w:r>
      <w:r>
        <w:t xml:space="preserve"> </w:t>
      </w:r>
      <w:r>
        <w:rPr>
          <w:iCs/>
          <w:i/>
        </w:rPr>
        <w:t xml:space="preserve">t</w:t>
      </w:r>
      <w:r>
        <w:t xml:space="preserve">(73) = 3.45,</w:t>
      </w:r>
      <w:r>
        <w:t xml:space="preserve"> </w:t>
      </w:r>
      <w:r>
        <w:rPr>
          <w:iCs/>
          <w:i/>
        </w:rPr>
        <w:t xml:space="preserve">p</w:t>
      </w:r>
      <w:r>
        <w:t xml:space="preserve"> </w:t>
      </w:r>
      <w:r>
        <w:t xml:space="preserve">= .001, BF</w:t>
      </w:r>
      <w:r>
        <w:rPr>
          <w:vertAlign w:val="subscript"/>
        </w:rPr>
        <w:t xml:space="preserve">10</w:t>
      </w:r>
      <w:r>
        <w:t xml:space="preserve"> </w:t>
      </w:r>
      <w:r>
        <w:t xml:space="preserve">= 23511.96 ± 0%, but not in the Uncertain group,</w:t>
      </w:r>
      <w:r>
        <w:t xml:space="preserve"> </w:t>
      </w:r>
      <w:r>
        <w:rPr>
          <w:iCs/>
          <w:i/>
        </w:rPr>
        <w:t xml:space="preserve">t</w:t>
      </w:r>
      <w:r>
        <w:t xml:space="preserve">(73) = 0.28,</w:t>
      </w:r>
      <w:r>
        <w:t xml:space="preserve"> </w:t>
      </w:r>
      <w:r>
        <w:rPr>
          <w:iCs/>
          <w:i/>
        </w:rPr>
        <w:t xml:space="preserve">p</w:t>
      </w:r>
      <w:r>
        <w:t xml:space="preserve"> </w:t>
      </w:r>
      <w:r>
        <w:t xml:space="preserve">= .781, BF</w:t>
      </w:r>
      <w:r>
        <w:rPr>
          <w:vertAlign w:val="subscript"/>
        </w:rPr>
        <w:t xml:space="preserve">10</w:t>
      </w:r>
      <w:r>
        <w:t xml:space="preserve"> </w:t>
      </w:r>
      <w:r>
        <w:t xml:space="preserve">= 0.07 ± 0.32%. This indicated that the training with certain contingency produces a difference in memory for the cues depending on their predictiveness, but that difference does not emerge during uncertain training.</w:t>
      </w:r>
    </w:p>
    <w:bookmarkEnd w:id="87"/>
    <w:bookmarkStart w:id="88" w:name="discussion-1"/>
    <w:p>
      <w:pPr>
        <w:pStyle w:val="Heading2"/>
      </w:pPr>
      <w:r>
        <w:t xml:space="preserve">Discussion</w:t>
      </w:r>
    </w:p>
    <w:p>
      <w:pPr>
        <w:pStyle w:val="FirstParagraph"/>
      </w:pPr>
      <w:r>
        <w:t xml:space="preserve">Experiment 2 aimed to examine the effect of uncertainty on recognition memory.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There was no effect of cue-predictiveness in group Uncertain, with evidence to suggest memory for predictive and non-predictive cues was equivalent. This latter result is consistent with previous studies</w:t>
      </w:r>
      <w:r>
        <w:t xml:space="preserve"> </w:t>
      </w:r>
      <w:r>
        <w:t xml:space="preserve">(Beesley et al., 2015; Easdale et al., 2019)</w:t>
      </w:r>
      <w:r>
        <w:t xml:space="preserve"> </w:t>
      </w:r>
      <w:r>
        <w:t xml:space="preserve">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pPr>
        <w:pStyle w:val="BodyText"/>
      </w:pPr>
      <w:r>
        <w:t xml:space="preserve">A central distinction made in Easdale et al.</w:t>
      </w:r>
      <w:r>
        <w:t xml:space="preserve"> </w:t>
      </w:r>
      <w:r>
        <w:t xml:space="preserve">(2019)</w:t>
      </w:r>
      <w:r>
        <w:t xml:space="preserve"> </w:t>
      </w:r>
      <w:r>
        <w:t xml:space="preserve">was that between</w:t>
      </w:r>
      <w:r>
        <w:t xml:space="preserve"> </w:t>
      </w:r>
      <w:r>
        <w:rPr>
          <w:iCs/>
          <w:i/>
        </w:rPr>
        <w:t xml:space="preserve">expected-</w:t>
      </w:r>
      <w:r>
        <w:t xml:space="preserve"> </w:t>
      </w:r>
      <w:r>
        <w:t xml:space="preserve">and</w:t>
      </w:r>
      <w:r>
        <w:t xml:space="preserve"> </w:t>
      </w:r>
      <w:r>
        <w:rPr>
          <w:iCs/>
          <w:i/>
        </w:rPr>
        <w:t xml:space="preserve">unexpected-uncertainty</w:t>
      </w:r>
      <w:r>
        <w:t xml:space="preserve">. In those experiments, participants who experienced a sustained period with uncertain compounds (as is the case in our</w:t>
      </w:r>
      <w:r>
        <w:t xml:space="preserve"> </w:t>
      </w:r>
      <w:r>
        <w:t xml:space="preserve">“</w:t>
      </w:r>
      <w:r>
        <w:t xml:space="preserve">uncertain group</w:t>
      </w:r>
      <w:r>
        <w:t xml:space="preserve">”</w:t>
      </w:r>
      <w:r>
        <w:t xml:space="preserve"> </w:t>
      </w:r>
      <w:r>
        <w:t xml:space="preserve">in Experiment 2) learnt more slowly about new contingencies, compared to a group that received a sudden and unexpected 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sudden period of uncertainty may (re)engage a mode of exploratory attentional processing for the cues, which would result in better memory of those cues. Experiment 3 tested this hypothesis.</w:t>
      </w:r>
    </w:p>
    <w:bookmarkEnd w:id="88"/>
    <w:bookmarkEnd w:id="89"/>
    <w:bookmarkStart w:id="106" w:name="experiment-3"/>
    <w:p>
      <w:pPr>
        <w:pStyle w:val="Heading1"/>
      </w:pPr>
      <w:r>
        <w:t xml:space="preserve">Experiment 3</w:t>
      </w:r>
    </w:p>
    <w:p>
      <w:pPr>
        <w:pStyle w:val="FirstParagraph"/>
      </w:pPr>
      <w:r>
        <w:t xml:space="preserve">Experiment 3 aimed to examine whether the introduction of uncertainty, following a period of certain training (i.e., unexpected uncertainty), would lead to an increase in cue-processing (better recognition memory). The design of Experiment 3 can be seen in</w:t>
      </w:r>
      <w:r>
        <w:t xml:space="preserve"> </w:t>
      </w:r>
      <w:hyperlink w:anchor="tbl-exp3">
        <w:r>
          <w:rPr>
            <w:rStyle w:val="Hyperlink"/>
          </w:rPr>
          <w:t xml:space="preserve">Table 3</w:t>
        </w:r>
      </w:hyperlink>
      <w:r>
        <w:t xml:space="preserve">. The experiment consisted of three groups of participants. Group Long received training that was similar to the Certain condition from Experiment 2, experiencing a protracted period of certain contingencies between the cue compounds and the outcomes throughout the training phase. Group Uncertain first experienced the same certain contingencies experienced by Group Long, before the contingencies were changed to uncertain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bookmarkStart w:id="90" w:name="tbl-exp3"/>
    <w:p>
      <w:pPr>
        <w:pStyle w:val="FigureTitle"/>
      </w:pPr>
      <w:r>
        <w:t xml:space="preserve">Table 3</w:t>
      </w:r>
    </w:p>
    <w:p>
      <w:pPr>
        <w:pStyle w:val="Caption"/>
      </w:pPr>
      <w:r>
        <w:t xml:space="preserve">Design of Experiment 3</w:t>
      </w:r>
    </w:p>
    <w:tbl>
      <w:tblPr>
        <w:tblStyle w:val="Table"/>
        <w:tblW w:type="pct" w:w="4875"/>
        <w:tblLook w:firstRow="1" w:lastRow="0" w:firstColumn="0" w:lastColumn="0" w:noHBand="0" w:noVBand="0" w:val="0020"/>
        <w:jc w:val="start"/>
        <w:tblLayout w:type="fixed"/>
      </w:tblPr>
      <w:tblGrid>
        <w:gridCol w:w="1584"/>
        <w:gridCol w:w="1485"/>
        <w:gridCol w:w="2772"/>
        <w:gridCol w:w="1881"/>
      </w:tblGrid>
      <w:tr>
        <w:trPr>
          <w:tblHeader w:val="true"/>
        </w:trPr>
        <w:tc>
          <w:tcPr/>
          <w:p>
            <w:pPr>
              <w:pStyle w:val="Compact"/>
              <w:jc w:val="left"/>
            </w:pPr>
            <w:r>
              <w:t xml:space="preserve">Group</w:t>
            </w:r>
          </w:p>
        </w:tc>
        <w:tc>
          <w:tcPr/>
          <w:p>
            <w:pPr>
              <w:pStyle w:val="Compact"/>
              <w:jc w:val="left"/>
            </w:pPr>
            <w:r>
              <w:t xml:space="preserve">Stage 1</w:t>
            </w:r>
          </w:p>
        </w:tc>
        <w:tc>
          <w:tcPr/>
          <w:p>
            <w:pPr>
              <w:pStyle w:val="Compact"/>
              <w:jc w:val="center"/>
            </w:pPr>
            <w:r>
              <w:t xml:space="preserve">Stage 2</w:t>
            </w:r>
          </w:p>
        </w:tc>
        <w:tc>
          <w:tcPr/>
          <w:p>
            <w:pPr>
              <w:pStyle w:val="Compact"/>
              <w:jc w:val="center"/>
            </w:pPr>
            <w:r>
              <w:t xml:space="preserve">Test</w:t>
            </w:r>
          </w:p>
        </w:tc>
      </w:tr>
      <w:tr>
        <w:tc>
          <w:tcPr/>
          <w:p>
            <w:pPr>
              <w:pStyle w:val="Compact"/>
              <w:jc w:val="left"/>
            </w:pPr>
            <w:r>
              <w:t xml:space="preserve">Certain Long</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FigureWithNote"/>
              <w:jc w:val="center"/>
            </w:pPr>
            <w:r>
              <w:t xml:space="preserve">AX - O1</w:t>
            </w:r>
          </w:p>
          <w:p>
            <w:pPr>
              <w:pStyle w:val="FigureWithNote"/>
              <w:jc w:val="center"/>
            </w:pPr>
            <w:r>
              <w:t xml:space="preserve">AY - O1</w:t>
            </w:r>
          </w:p>
          <w:p>
            <w:pPr>
              <w:pStyle w:val="FigureWithNote"/>
              <w:jc w:val="center"/>
            </w:pPr>
            <w:r>
              <w:t xml:space="preserve">BX - O2</w:t>
            </w:r>
          </w:p>
          <w:p>
            <w:pPr>
              <w:pStyle w:val="FigureWithNote"/>
              <w:jc w:val="center"/>
            </w:pPr>
            <w:r>
              <w:t xml:space="preserve">BY - O2</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Certain Short</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Compact"/>
            </w:pP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r>
        <w:tc>
          <w:tcPr/>
          <w:p>
            <w:pPr>
              <w:pStyle w:val="Compact"/>
              <w:jc w:val="left"/>
            </w:pPr>
            <w:r>
              <w:t xml:space="preserve">Uncertain</w:t>
            </w:r>
          </w:p>
        </w:tc>
        <w:tc>
          <w:tcPr/>
          <w:p>
            <w:pPr>
              <w:pStyle w:val="FigureWithNote"/>
              <w:jc w:val="left"/>
            </w:pPr>
            <w:r>
              <w:t xml:space="preserve">AX - O1</w:t>
            </w:r>
          </w:p>
          <w:p>
            <w:pPr>
              <w:pStyle w:val="FigureWithNote"/>
              <w:jc w:val="left"/>
            </w:pPr>
            <w:r>
              <w:t xml:space="preserve">AY - O1</w:t>
            </w:r>
          </w:p>
          <w:p>
            <w:pPr>
              <w:pStyle w:val="FigureWithNote"/>
              <w:jc w:val="left"/>
            </w:pPr>
            <w:r>
              <w:t xml:space="preserve">BX - O2</w:t>
            </w:r>
          </w:p>
          <w:p>
            <w:pPr>
              <w:pStyle w:val="FigureWithNote"/>
              <w:jc w:val="left"/>
            </w:pPr>
            <w:r>
              <w:t xml:space="preserve">BY - O2</w:t>
            </w:r>
          </w:p>
        </w:tc>
        <w:tc>
          <w:tcPr/>
          <w:p>
            <w:pPr>
              <w:pStyle w:val="FigureWithNote"/>
              <w:jc w:val="center"/>
            </w:pPr>
            <w:r>
              <w:t xml:space="preserve">0.8 AX - O1 / 0.2 AX - O2</w:t>
            </w:r>
          </w:p>
          <w:p>
            <w:pPr>
              <w:pStyle w:val="FigureWithNote"/>
              <w:jc w:val="center"/>
            </w:pPr>
            <w:r>
              <w:t xml:space="preserve">0.8 AY - O1 / 0.2 AY - O2</w:t>
            </w:r>
          </w:p>
          <w:p>
            <w:pPr>
              <w:pStyle w:val="FigureWithNote"/>
              <w:jc w:val="center"/>
            </w:pPr>
            <w:r>
              <w:t xml:space="preserve">0.8 BX - O2 / 0.2 BX - O1</w:t>
            </w:r>
          </w:p>
          <w:p>
            <w:pPr>
              <w:pStyle w:val="FigureWithNote"/>
              <w:jc w:val="center"/>
            </w:pPr>
            <w:r>
              <w:t xml:space="preserve">0.8 BY - O2 / 0.2 BY - O1</w:t>
            </w:r>
          </w:p>
        </w:tc>
        <w:tc>
          <w:tcPr/>
          <w:p>
            <w:pPr>
              <w:pStyle w:val="FigureWithNote"/>
              <w:jc w:val="center"/>
            </w:pPr>
            <w:r>
              <w:t xml:space="preserve">A vs</w:t>
            </w:r>
            <w:r>
              <w:t xml:space="preserve"> </w:t>
            </w:r>
            <w:r>
              <w:rPr>
                <w:iCs/>
                <w:i/>
              </w:rPr>
              <w:t xml:space="preserve">b</w:t>
            </w:r>
            <w:r>
              <w:t xml:space="preserve">/</w:t>
            </w:r>
            <w:r>
              <w:rPr>
                <w:iCs/>
                <w:i/>
              </w:rPr>
              <w:t xml:space="preserve">x</w:t>
            </w:r>
            <w:r>
              <w:t xml:space="preserve">/</w:t>
            </w:r>
            <w:r>
              <w:rPr>
                <w:iCs/>
                <w:i/>
              </w:rPr>
              <w:t xml:space="preserve">y</w:t>
            </w:r>
          </w:p>
          <w:p>
            <w:pPr>
              <w:pStyle w:val="FigureWithNote"/>
              <w:jc w:val="center"/>
            </w:pPr>
            <w:r>
              <w:t xml:space="preserve">B vs</w:t>
            </w:r>
            <w:r>
              <w:t xml:space="preserve"> </w:t>
            </w:r>
            <w:r>
              <w:rPr>
                <w:iCs/>
                <w:i/>
              </w:rPr>
              <w:t xml:space="preserve">a</w:t>
            </w:r>
            <w:r>
              <w:t xml:space="preserve">/</w:t>
            </w:r>
            <w:r>
              <w:rPr>
                <w:iCs/>
                <w:i/>
              </w:rPr>
              <w:t xml:space="preserve">x</w:t>
            </w:r>
            <w:r>
              <w:t xml:space="preserve">/</w:t>
            </w:r>
            <w:r>
              <w:rPr>
                <w:iCs/>
                <w:i/>
              </w:rPr>
              <w:t xml:space="preserve">y</w:t>
            </w:r>
          </w:p>
          <w:p>
            <w:pPr>
              <w:pStyle w:val="FigureWithNote"/>
              <w:jc w:val="center"/>
            </w:pPr>
            <w:r>
              <w:t xml:space="preserve">X vs</w:t>
            </w:r>
            <w:r>
              <w:t xml:space="preserve"> </w:t>
            </w:r>
            <w:r>
              <w:rPr>
                <w:iCs/>
                <w:i/>
              </w:rPr>
              <w:t xml:space="preserve">a</w:t>
            </w:r>
            <w:r>
              <w:t xml:space="preserve">/</w:t>
            </w:r>
            <w:r>
              <w:rPr>
                <w:iCs/>
                <w:i/>
              </w:rPr>
              <w:t xml:space="preserve">b</w:t>
            </w:r>
            <w:r>
              <w:t xml:space="preserve">/</w:t>
            </w:r>
            <w:r>
              <w:rPr>
                <w:iCs/>
                <w:i/>
              </w:rPr>
              <w:t xml:space="preserve">y</w:t>
            </w:r>
          </w:p>
          <w:p>
            <w:pPr>
              <w:pStyle w:val="FigureWithNote"/>
              <w:jc w:val="center"/>
            </w:pPr>
            <w:r>
              <w:t xml:space="preserve">Y vs</w:t>
            </w:r>
            <w:r>
              <w:t xml:space="preserve"> </w:t>
            </w:r>
            <w:r>
              <w:rPr>
                <w:iCs/>
                <w:i/>
              </w:rPr>
              <w:t xml:space="preserve">a</w:t>
            </w:r>
            <w:r>
              <w:t xml:space="preserve">/</w:t>
            </w:r>
            <w:r>
              <w:rPr>
                <w:iCs/>
                <w:i/>
              </w:rPr>
              <w:t xml:space="preserve">b</w:t>
            </w:r>
            <w:r>
              <w:t xml:space="preserve">/</w:t>
            </w:r>
            <w:r>
              <w:rPr>
                <w:iCs/>
                <w:i/>
              </w:rPr>
              <w:t xml:space="preserve">x</w:t>
            </w:r>
          </w:p>
        </w:tc>
      </w:tr>
    </w:tbl>
    <w:bookmarkEnd w:id="90"/>
    <w:p>
      <w:pPr>
        <w:pStyle w:val="FigureNote"/>
      </w:pPr>
      <w:r>
        <w:rPr>
          <w:iCs/>
          <w:i/>
        </w:rPr>
        <w:t xml:space="preserve">Note</w:t>
      </w:r>
      <w:r>
        <w:t xml:space="preserve">.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pPr>
        <w:pStyle w:val="BodyText"/>
      </w:pPr>
      <w:r>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w:t>
      </w:r>
      <w:r>
        <w:t xml:space="preserve"> </w:t>
      </w:r>
      <w:r>
        <w:t xml:space="preserve">“</w:t>
      </w:r>
      <w:r>
        <w:t xml:space="preserve">Certain Long</w:t>
      </w:r>
      <w:r>
        <w:t xml:space="preserve">”</w:t>
      </w:r>
      <w:r>
        <w:t xml:space="preserve"> </w:t>
      </w:r>
      <w:r>
        <w:t xml:space="preserve">condition could</w:t>
      </w:r>
      <w:r>
        <w:t xml:space="preserve"> </w:t>
      </w:r>
      <w:r>
        <w:rPr>
          <w:iCs/>
          <w:i/>
        </w:rPr>
        <w:t xml:space="preserve">decrease</w:t>
      </w:r>
      <w:r>
        <w:t xml:space="preserve"> </w:t>
      </w:r>
      <w:r>
        <w:t xml:space="preserve">cue processing, which would be an alternative explanation of any difference in cue processing we observe between Group Uncertain and Group Certain Long. If this is the case, we 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bookmarkStart w:id="95" w:name="methods-2"/>
    <w:p>
      <w:pPr>
        <w:pStyle w:val="Heading2"/>
      </w:pPr>
      <w:r>
        <w:t xml:space="preserve">Methods</w:t>
      </w:r>
    </w:p>
    <w:bookmarkStart w:id="91" w:name="participants-2"/>
    <w:p>
      <w:pPr>
        <w:pStyle w:val="Heading3"/>
      </w:pPr>
      <w:r>
        <w:t xml:space="preserve">Participants</w:t>
      </w:r>
    </w:p>
    <w:p>
      <w:pPr>
        <w:pStyle w:val="FirstParagraph"/>
      </w:pPr>
      <w:r>
        <w:t xml:space="preserve">112 participants were recruited through Prolific. The mean age of the 109 participants that reported their age was 32.8 (range 18 - 74, with 36 females, 75 males,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on the basis of failing the comprehension check before the test, all in group Uncertain; 17 participants were excluded due to a low PPR (&lt; 0.6) on the last block of Stage 1, two in group Certain Long, four in group Certain Short and 11in group Uncertain{^3]. WE continued to recruit participants after applying our exclusion criteria, to ensure that there were 30 participants in each group. Thus, the results below are for the remaining 90 participants. Post-hoc calculations using G*Power 3.1</w:t>
      </w:r>
      <w:r>
        <w:t xml:space="preserve"> </w:t>
      </w:r>
      <w:r>
        <w:t xml:space="preserve">(Faul et al., 2007)</w:t>
      </w:r>
      <w:r>
        <w:t xml:space="preserve"> </w:t>
      </w:r>
      <w:r>
        <w:t xml:space="preserve">revealed that this sample size had a power of .87 to detect an effect size of η</w:t>
      </w:r>
      <w:r>
        <w:rPr>
          <w:vertAlign w:val="subscript"/>
        </w:rPr>
        <w:t xml:space="preserve">p</w:t>
      </w:r>
      <w:r>
        <w:rPr>
          <w:vertAlign w:val="superscript"/>
        </w:rPr>
        <w:t xml:space="preserve">2</w:t>
      </w:r>
      <w:r>
        <w:t xml:space="preserve"> </w:t>
      </w:r>
      <w:r>
        <w:t xml:space="preserve">= .09 that was observed for the group main effect reported in</w:t>
      </w:r>
      <w:r>
        <w:t xml:space="preserve"> </w:t>
      </w:r>
      <w:hyperlink w:anchor="fig-testExp3">
        <w:r>
          <w:rPr>
            <w:rStyle w:val="Hyperlink"/>
          </w:rPr>
          <w:t xml:space="preserve">Figure 10</w:t>
        </w:r>
      </w:hyperlink>
      <w:r>
        <w:t xml:space="preserve">.</w:t>
      </w:r>
    </w:p>
    <w:bookmarkEnd w:id="91"/>
    <w:bookmarkStart w:id="92" w:name="apparatus-and-stimuli-2"/>
    <w:p>
      <w:pPr>
        <w:pStyle w:val="Heading3"/>
      </w:pPr>
      <w:r>
        <w:t xml:space="preserve">Apparatus and stimuli</w:t>
      </w:r>
    </w:p>
    <w:p>
      <w:pPr>
        <w:pStyle w:val="FirstParagraph"/>
      </w:pPr>
      <w:r>
        <w:t xml:space="preserve">The materials were the same as in Experiments 1 and 2.</w:t>
      </w:r>
    </w:p>
    <w:bookmarkEnd w:id="92"/>
    <w:bookmarkStart w:id="93" w:name="design-2"/>
    <w:p>
      <w:pPr>
        <w:pStyle w:val="Heading3"/>
      </w:pPr>
      <w:r>
        <w:t xml:space="preserve">Design</w:t>
      </w:r>
    </w:p>
    <w:p>
      <w:pPr>
        <w:pStyle w:val="FirstParagraph"/>
      </w:pPr>
      <w:r>
        <w:t xml:space="preserve">The experiment used a mixed design (as seen in</w:t>
      </w:r>
      <w:r>
        <w:t xml:space="preserve"> </w:t>
      </w:r>
      <w:hyperlink w:anchor="tbl-exp3">
        <w:r>
          <w:rPr>
            <w:rStyle w:val="Hyperlink"/>
          </w:rPr>
          <w:t xml:space="preserve">Table 3</w:t>
        </w:r>
      </w:hyperlink>
      <w:r>
        <w:t xml:space="preserve">),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that was identical to the one Experiment 2.</w:t>
      </w:r>
    </w:p>
    <w:bookmarkEnd w:id="93"/>
    <w:bookmarkStart w:id="94" w:name="procedure-2"/>
    <w:p>
      <w:pPr>
        <w:pStyle w:val="Heading3"/>
      </w:pPr>
      <w:r>
        <w:t xml:space="preserve">Procedure</w:t>
      </w:r>
    </w:p>
    <w:p>
      <w:pPr>
        <w:pStyle w:val="FirstParagraph"/>
      </w:pPr>
      <w:r>
        <w:t xml:space="preserve">All the details about the procedure were identical to Experiment 2.</w:t>
      </w:r>
    </w:p>
    <w:bookmarkEnd w:id="94"/>
    <w:bookmarkEnd w:id="95"/>
    <w:bookmarkStart w:id="104" w:name="results-2"/>
    <w:p>
      <w:pPr>
        <w:pStyle w:val="Heading2"/>
      </w:pPr>
      <w:r>
        <w:t xml:space="preserve">Results</w:t>
      </w:r>
    </w:p>
    <w:p>
      <w:pPr>
        <w:pStyle w:val="FirstParagraph"/>
      </w:pPr>
      <w:hyperlink w:anchor="fig-trainingExp3">
        <w:r>
          <w:rPr>
            <w:rStyle w:val="Hyperlink"/>
          </w:rPr>
          <w:t xml:space="preserve">Figure 9</w:t>
        </w:r>
      </w:hyperlink>
      <w:r>
        <w:t xml:space="preserve"> </w:t>
      </w:r>
      <w:r>
        <w:t xml:space="preserve">shows the mean block PPR for each group across training. All participants showed a similar increase in PPR in stage 1, reaching a PPR of around 0.93 on block 6. In Stage 2, group Certain showed a similar PPR to block 6, but the Uncertain group showed a decrease in PPR to a level of around 0.85.</w:t>
      </w:r>
    </w:p>
    <w:p>
      <w:pPr>
        <w:pStyle w:val="SourceCode"/>
      </w:pPr>
      <w:r>
        <w:rPr>
          <w:rStyle w:val="VerbatimChar"/>
        </w:rPr>
        <w:t xml:space="preserve">Warning: Removed 4 rows containing missing values or values outside the scale range</w:t>
      </w:r>
      <w:r>
        <w:br/>
      </w:r>
      <w:r>
        <w:rPr>
          <w:rStyle w:val="VerbatimChar"/>
        </w:rPr>
        <w:t xml:space="preserve">(`geom_point()`).</w:t>
      </w:r>
    </w:p>
    <w:p>
      <w:pPr>
        <w:pStyle w:val="SourceCode"/>
      </w:pPr>
      <w:r>
        <w:rPr>
          <w:rStyle w:val="VerbatimChar"/>
        </w:rPr>
        <w:t xml:space="preserve">Warning: Removed 4 rows containing missing values or values outside the scale range</w:t>
      </w:r>
      <w:r>
        <w:br/>
      </w:r>
      <w:r>
        <w:rPr>
          <w:rStyle w:val="VerbatimChar"/>
        </w:rPr>
        <w:t xml:space="preserve">(`geom_line()`).</w:t>
      </w:r>
    </w:p>
    <w:bookmarkStart w:id="99" w:name="fig-trainingExp3"/>
    <w:p>
      <w:pPr>
        <w:pStyle w:val="FigureTitle"/>
      </w:pPr>
      <w:r>
        <w:t xml:space="preserve">Figure 9</w:t>
      </w:r>
    </w:p>
    <w:p>
      <w:pPr>
        <w:pStyle w:val="Caption"/>
      </w:pPr>
      <w:r>
        <w:t xml:space="preserve">PPR on the training phase of Experiment 3.</w:t>
      </w:r>
    </w:p>
    <w:p>
      <w:pPr>
        <w:pStyle w:val="FigureWithNote"/>
      </w:pPr>
      <w:r>
        <w:drawing>
          <wp:inline>
            <wp:extent cx="5943600" cy="3657600"/>
            <wp:effectExtent b="0" l="0" r="0" t="0"/>
            <wp:docPr descr="" title="" id="97" name="Picture"/>
            <a:graphic>
              <a:graphicData uri="http://schemas.openxmlformats.org/drawingml/2006/picture">
                <pic:pic>
                  <pic:nvPicPr>
                    <pic:cNvPr descr="UNM_draft_files/figure-docx/fig-trainingExp3-1.png" id="98" name="Picture"/>
                    <pic:cNvPicPr>
                      <a:picLocks noChangeArrowheads="1" noChangeAspect="1"/>
                    </pic:cNvPicPr>
                  </pic:nvPicPr>
                  <pic:blipFill>
                    <a:blip r:embed="rId96"/>
                    <a:stretch>
                      <a:fillRect/>
                    </a:stretch>
                  </pic:blipFill>
                  <pic:spPr bwMode="auto">
                    <a:xfrm>
                      <a:off x="0" y="0"/>
                      <a:ext cx="5943600" cy="3657600"/>
                    </a:xfrm>
                    <a:prstGeom prst="rect">
                      <a:avLst/>
                    </a:prstGeom>
                    <a:noFill/>
                    <a:ln w="9525">
                      <a:noFill/>
                      <a:headEnd/>
                      <a:tailEnd/>
                    </a:ln>
                  </pic:spPr>
                </pic:pic>
              </a:graphicData>
            </a:graphic>
          </wp:inline>
        </w:drawing>
      </w:r>
    </w:p>
    <w:bookmarkEnd w:id="99"/>
    <w:p>
      <w:pPr>
        <w:pStyle w:val="FigureNote"/>
      </w:pPr>
      <w:r>
        <w:rPr>
          <w:iCs/>
          <w:i/>
        </w:rPr>
        <w:t xml:space="preserve">Note</w:t>
      </w:r>
      <w:r>
        <w:t xml:space="preserve">. Proportion of accurate responses (±SEM) on the training phase of Experiment 3, plotted against the ten blocks of trials, for each Group.</w:t>
      </w:r>
    </w:p>
    <w:p>
      <w:pPr>
        <w:pStyle w:val="BodyText"/>
      </w:pPr>
      <w:r>
        <w:t xml:space="preserve">The Stage 1 data were analysed with a mixed-model ANOVA (with the degrees of freedom corrected by Greenhouse-Geisser when the sphericity assumption was not fulfilled), with the between-subjects factor of</w:t>
      </w:r>
      <w:r>
        <w:t xml:space="preserve"> </w:t>
      </w:r>
      <w:r>
        <w:rPr>
          <w:iCs/>
          <w:i/>
        </w:rPr>
        <w:t xml:space="preserve">group</w:t>
      </w:r>
      <w:r>
        <w:t xml:space="preserve"> </w:t>
      </w:r>
      <w:r>
        <w:t xml:space="preserve">(Certain Long, Certain short, and Uncertain), and the within-subjects factor of</w:t>
      </w:r>
      <w:r>
        <w:t xml:space="preserve"> </w:t>
      </w:r>
      <w:r>
        <w:rPr>
          <w:iCs/>
          <w:i/>
        </w:rPr>
        <w:t xml:space="preserve">block</w:t>
      </w:r>
      <w:r>
        <w:t xml:space="preserve"> </w:t>
      </w:r>
      <w:r>
        <w:t xml:space="preserve">(1-6). This revealed a significant effect of block, with extreme Bayesian evidence for the alternative hypothesis,</w:t>
      </w:r>
      <w:r>
        <w:t xml:space="preserve"> </w:t>
      </w:r>
      <w:r>
        <w:rPr>
          <w:iCs/>
          <w:i/>
        </w:rPr>
        <w:t xml:space="preserve">F</w:t>
      </w:r>
      <w:r>
        <w:t xml:space="preserve">(3.39, 295.17) = 72.50,</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.45, BF</w:t>
      </w:r>
      <w:r>
        <w:rPr>
          <w:vertAlign w:val="subscript"/>
        </w:rPr>
        <w:t xml:space="preserve">10</w:t>
      </w:r>
      <w:r>
        <w:t xml:space="preserve"> </w:t>
      </w:r>
      <w:r>
        <w:t xml:space="preserve">= 2.1x10</w:t>
      </w:r>
      <w:r>
        <w:rPr>
          <w:vertAlign w:val="superscript"/>
        </w:rPr>
        <w:t xml:space="preserve">52</w:t>
      </w:r>
      <w:r>
        <w:t xml:space="preserve"> </w:t>
      </w:r>
      <w:r>
        <w:t xml:space="preserve">± 1.64%. There was no effect of</w:t>
      </w:r>
      <w:r>
        <w:t xml:space="preserve"> </w:t>
      </w:r>
      <w:r>
        <w:rPr>
          <w:iCs/>
          <w:i/>
        </w:rPr>
        <w:t xml:space="preserve">group</w:t>
      </w:r>
      <w:r>
        <w:t xml:space="preserve">, with strong evidence for the null hypothesis,</w:t>
      </w:r>
      <w:r>
        <w:t xml:space="preserve"> </w:t>
      </w:r>
      <w:r>
        <w:rPr>
          <w:iCs/>
          <w:i/>
        </w:rPr>
        <w:t xml:space="preserve">F</w:t>
      </w:r>
      <w:r>
        <w:t xml:space="preserve">(2, 87) = 0.03,</w:t>
      </w:r>
      <w:r>
        <w:t xml:space="preserve"> </w:t>
      </w:r>
      <w:r>
        <w:rPr>
          <w:iCs/>
          <w:i/>
        </w:rPr>
        <w:t xml:space="preserve">p</w:t>
      </w:r>
      <w:r>
        <w:t xml:space="preserve"> </w:t>
      </w:r>
      <w:r>
        <w:t xml:space="preserve">= .969,</w:t>
      </w:r>
      <w:r>
        <w:t xml:space="preserve"> </w:t>
      </w:r>
      <m:oMath>
        <m:sSubSup>
          <m:e>
            <m:r>
              <m:t>η</m:t>
            </m:r>
          </m:e>
          <m:sub>
            <m:r>
              <m:t>p</m:t>
            </m:r>
          </m:sub>
          <m:sup>
            <m:r>
              <m:t>2</m:t>
            </m:r>
          </m:sup>
        </m:sSubSup>
      </m:oMath>
      <w:r>
        <w:t xml:space="preserve"> </w:t>
      </w:r>
      <w:r>
        <w:t xml:space="preserve">&lt; .01, BF</w:t>
      </w:r>
      <w:r>
        <w:rPr>
          <w:vertAlign w:val="subscript"/>
        </w:rPr>
        <w:t xml:space="preserve">10</w:t>
      </w:r>
      <w:r>
        <w:t xml:space="preserve"> </w:t>
      </w:r>
      <w:r>
        <w:t xml:space="preserve">= 0.09 ± 3.39%, and no interaction effect, with extreme evidence for the null hypothesis,</w:t>
      </w:r>
      <w:r>
        <w:t xml:space="preserve"> </w:t>
      </w:r>
      <w:r>
        <w:rPr>
          <w:iCs/>
          <w:i/>
        </w:rPr>
        <w:t xml:space="preserve">F</w:t>
      </w:r>
      <w:r>
        <w:t xml:space="preserve">(6.79, 295.17) = 0.58,</w:t>
      </w:r>
      <w:r>
        <w:t xml:space="preserve"> </w:t>
      </w:r>
      <w:r>
        <w:rPr>
          <w:iCs/>
          <w:i/>
        </w:rPr>
        <w:t xml:space="preserve">p</w:t>
      </w:r>
      <w:r>
        <w:t xml:space="preserve"> </w:t>
      </w:r>
      <w:r>
        <w:t xml:space="preserve">= .770,</w:t>
      </w:r>
      <w:r>
        <w:t xml:space="preserve"> </w:t>
      </w:r>
      <m:oMath>
        <m:sSubSup>
          <m:e>
            <m:r>
              <m:t>η</m:t>
            </m:r>
          </m:e>
          <m:sub>
            <m:r>
              <m:t>p</m:t>
            </m:r>
          </m:sub>
          <m:sup>
            <m:r>
              <m:t>2</m:t>
            </m:r>
          </m:sup>
        </m:sSubSup>
      </m:oMath>
      <w:r>
        <w:t xml:space="preserve"> </w:t>
      </w:r>
      <w:r>
        <w:t xml:space="preserve">= .01, BF</w:t>
      </w:r>
      <w:r>
        <w:rPr>
          <w:vertAlign w:val="subscript"/>
        </w:rPr>
        <w:t xml:space="preserve">10</w:t>
      </w:r>
      <w:r>
        <w:t xml:space="preserve"> </w:t>
      </w:r>
      <w:r>
        <w:t xml:space="preserve">= 0 ± 67.87%.</w:t>
      </w:r>
    </w:p>
    <w:p>
      <w:pPr>
        <w:pStyle w:val="BodyText"/>
      </w:pPr>
      <w:r>
        <w:t xml:space="preserve">The data from Stage 1 and 2 were analysed with a mixed model ANOVA (using the Greenhouse-Geisser correction when needed), with the between-subjects factor of</w:t>
      </w:r>
      <w:r>
        <w:t xml:space="preserve"> </w:t>
      </w:r>
      <w:r>
        <w:rPr>
          <w:iCs/>
          <w:i/>
        </w:rPr>
        <w:t xml:space="preserve">group</w:t>
      </w:r>
      <w:r>
        <w:t xml:space="preserve"> </w:t>
      </w:r>
      <w:r>
        <w:t xml:space="preserve">(Certain Long vs Uncertain) and the within-subjects factor of</w:t>
      </w:r>
      <w:r>
        <w:t xml:space="preserve"> </w:t>
      </w:r>
      <w:r>
        <w:rPr>
          <w:iCs/>
          <w:i/>
        </w:rPr>
        <w:t xml:space="preserve">block</w:t>
      </w:r>
      <w:r>
        <w:t xml:space="preserve"> </w:t>
      </w:r>
      <w:r>
        <w:t xml:space="preserve">(1-10). There was no effect of</w:t>
      </w:r>
      <w:r>
        <w:t xml:space="preserve"> </w:t>
      </w:r>
      <w:r>
        <w:rPr>
          <w:iCs/>
          <w:i/>
        </w:rPr>
        <w:t xml:space="preserve">group</w:t>
      </w:r>
      <w:r>
        <w:t xml:space="preserve">, with anecdotal Bayesian evidence for the null hypothesis,</w:t>
      </w:r>
      <w:r>
        <w:t xml:space="preserve"> </w:t>
      </w:r>
      <w:r>
        <w:rPr>
          <w:iCs/>
          <w:i/>
        </w:rPr>
        <w:t xml:space="preserve">F</w:t>
      </w:r>
      <w:r>
        <w:t xml:space="preserve">(1, 58) = 1.78,</w:t>
      </w:r>
      <w:r>
        <w:t xml:space="preserve"> </w:t>
      </w:r>
      <w:r>
        <w:rPr>
          <w:iCs/>
          <w:i/>
        </w:rPr>
        <w:t xml:space="preserve">p</w:t>
      </w:r>
      <w:r>
        <w:t xml:space="preserve"> </w:t>
      </w:r>
      <w:r>
        <w:t xml:space="preserve">= .187,</w:t>
      </w:r>
      <w:r>
        <w:t xml:space="preserve"> </w:t>
      </w:r>
      <m:oMath>
        <m:sSubSup>
          <m:e>
            <m:r>
              <m:t>η</m:t>
            </m:r>
          </m:e>
          <m:sub>
            <m:r>
              <m:t>p</m:t>
            </m:r>
          </m:sub>
          <m:sup>
            <m:r>
              <m:t>2</m:t>
            </m:r>
          </m:sup>
        </m:sSubSup>
      </m:oMath>
      <w:r>
        <w:t xml:space="preserve"> </w:t>
      </w:r>
      <w:r>
        <w:t xml:space="preserve">= .03, BF</w:t>
      </w:r>
      <w:r>
        <w:rPr>
          <w:vertAlign w:val="subscript"/>
        </w:rPr>
        <w:t xml:space="preserve">10</w:t>
      </w:r>
      <w:r>
        <w:t xml:space="preserve"> </w:t>
      </w:r>
      <w:r>
        <w:t xml:space="preserve">= 0.44 ± 3.34%, but there was a significant effect of</w:t>
      </w:r>
      <w:r>
        <w:t xml:space="preserve"> </w:t>
      </w:r>
      <w:r>
        <w:rPr>
          <w:iCs/>
          <w:i/>
        </w:rPr>
        <w:t xml:space="preserve">block</w:t>
      </w:r>
      <w:r>
        <w:t xml:space="preserve"> </w:t>
      </w:r>
      <w:r>
        <w:t xml:space="preserve">with extreme Bayesian evidence for the alternative hypothesis,</w:t>
      </w:r>
      <w:r>
        <w:t xml:space="preserve"> </w:t>
      </w:r>
      <w:r>
        <w:rPr>
          <w:iCs/>
          <w:i/>
        </w:rPr>
        <w:t xml:space="preserve">F</w:t>
      </w:r>
      <w:r>
        <w:t xml:space="preserve">(5.26, 384.15) = 28.09,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.28, BF</w:t>
      </w:r>
      <w:r>
        <w:rPr>
          <w:vertAlign w:val="subscript"/>
        </w:rPr>
        <w:t xml:space="preserve">10</w:t>
      </w:r>
      <w:r>
        <w:t xml:space="preserve"> </w:t>
      </w:r>
      <w:r>
        <w:t xml:space="preserve">= 2.1x10</w:t>
      </w:r>
      <w:r>
        <w:rPr>
          <w:vertAlign w:val="superscript"/>
        </w:rPr>
        <w:t xml:space="preserve">35</w:t>
      </w:r>
      <w:r>
        <w:t xml:space="preserve"> </w:t>
      </w:r>
      <w:r>
        <w:t xml:space="preserve">± 5.78%, and a significant group by block interaction, with extreme Bayesian evidence for the alternative hypothesis,</w:t>
      </w:r>
      <w:r>
        <w:t xml:space="preserve"> </w:t>
      </w:r>
      <w:r>
        <w:rPr>
          <w:iCs/>
          <w:i/>
        </w:rPr>
        <w:t xml:space="preserve">F</w:t>
      </w:r>
      <w:r>
        <w:t xml:space="preserve">(4.14, 240.26) = 4.44,</w:t>
      </w:r>
      <w:r>
        <w:t xml:space="preserve"> </w:t>
      </w:r>
      <w:r>
        <w:rPr>
          <w:iCs/>
          <w:i/>
        </w:rPr>
        <w:t xml:space="preserve">p</w:t>
      </w:r>
      <w:r>
        <w:t xml:space="preserve"> </w:t>
      </w:r>
      <w:r>
        <w:t xml:space="preserve">= .002,</w:t>
      </w:r>
      <w:r>
        <w:t xml:space="preserve"> </w:t>
      </w:r>
      <m:oMath>
        <m:sSubSup>
          <m:e>
            <m:r>
              <m:t>η</m:t>
            </m:r>
          </m:e>
          <m:sub>
            <m:r>
              <m:t>p</m:t>
            </m:r>
          </m:sub>
          <m:sup>
            <m:r>
              <m:t>2</m:t>
            </m:r>
          </m:sup>
        </m:sSubSup>
      </m:oMath>
      <w:r>
        <w:t xml:space="preserve"> </w:t>
      </w:r>
      <w:r>
        <w:t xml:space="preserve">= .07, BF</w:t>
      </w:r>
      <w:r>
        <w:rPr>
          <w:vertAlign w:val="subscript"/>
        </w:rPr>
        <w:t xml:space="preserve">10</w:t>
      </w:r>
      <w:r>
        <w:t xml:space="preserve"> </w:t>
      </w:r>
      <w:r>
        <w:t xml:space="preserve">= 1188.39 ± 3.95%. Bonferroni-corrected comparisons showed that the Uncertain group had a lower PPR on the Stage 2 blocks,</w:t>
      </w:r>
      <w:r>
        <w:t xml:space="preserve"> </w:t>
      </w:r>
      <w:r>
        <w:rPr>
          <w:iCs/>
          <w:i/>
        </w:rPr>
        <w:t xml:space="preserve">t</w:t>
      </w:r>
      <w:r>
        <w:t xml:space="preserve">(58) &gt; 3.27,</w:t>
      </w:r>
      <w:r>
        <w:t xml:space="preserve"> </w:t>
      </w:r>
      <w:r>
        <w:rPr>
          <w:iCs/>
          <w:i/>
        </w:rPr>
        <w:t xml:space="preserve">p</w:t>
      </w:r>
      <w:r>
        <w:t xml:space="preserve"> </w:t>
      </w:r>
      <w:r>
        <w:t xml:space="preserve">&lt; .002, BF</w:t>
      </w:r>
      <w:r>
        <w:rPr>
          <w:vertAlign w:val="subscript"/>
        </w:rPr>
        <w:t xml:space="preserve">10</w:t>
      </w:r>
      <w:r>
        <w:t xml:space="preserve"> </w:t>
      </w:r>
      <w:r>
        <w:t xml:space="preserve">= 0.46 ± 0.01%, but no differences in the Stage 1 blocks,</w:t>
      </w:r>
      <w:r>
        <w:t xml:space="preserve"> </w:t>
      </w:r>
      <w:r>
        <w:rPr>
          <w:iCs/>
          <w:i/>
        </w:rPr>
        <w:t xml:space="preserve">t</w:t>
      </w:r>
      <w:r>
        <w:t xml:space="preserve">(58) &lt; 1.15,</w:t>
      </w:r>
      <w:r>
        <w:t xml:space="preserve"> </w:t>
      </w:r>
      <w:r>
        <w:rPr>
          <w:iCs/>
          <w:i/>
        </w:rPr>
        <w:t xml:space="preserve">p</w:t>
      </w:r>
      <w:r>
        <w:t xml:space="preserve"> </w:t>
      </w:r>
      <w:r>
        <w:t xml:space="preserve">&gt; .254, BF</w:t>
      </w:r>
      <w:r>
        <w:rPr>
          <w:vertAlign w:val="subscript"/>
        </w:rPr>
        <w:t xml:space="preserve">10</w:t>
      </w:r>
      <w:r>
        <w:t xml:space="preserve"> </w:t>
      </w:r>
      <w:r>
        <w:t xml:space="preserve">= 19.02 ± 0%.</w:t>
      </w:r>
    </w:p>
    <w:p>
      <w:pPr>
        <w:pStyle w:val="BodyText"/>
      </w:pPr>
      <w:r>
        <w:t xml:space="preserve">Taken together, these results indicate that the training in Stage 1 increased the PPR for all groups in the same fashion, in Stage 1, while in Stage 2, the Certain group showed a consistently higher PPR than the Uncertain group.</w:t>
      </w:r>
    </w:p>
    <w:p>
      <w:pPr>
        <w:pStyle w:val="BodyText"/>
      </w:pPr>
      <w:hyperlink w:anchor="fig-testExp3">
        <w:r>
          <w:rPr>
            <w:rStyle w:val="Hyperlink"/>
          </w:rPr>
          <w:t xml:space="preserve">Figure 10</w:t>
        </w:r>
      </w:hyperlink>
      <w:r>
        <w:t xml:space="preserve"> </w:t>
      </w:r>
      <w:r>
        <w:t xml:space="preserve">Figure 9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bookmarkStart w:id="103" w:name="fig-testExp3"/>
    <w:p>
      <w:pPr>
        <w:pStyle w:val="FigureTitle"/>
      </w:pPr>
      <w:r>
        <w:t xml:space="preserve">Figure 10</w:t>
      </w:r>
    </w:p>
    <w:p>
      <w:pPr>
        <w:pStyle w:val="Caption"/>
      </w:pPr>
      <w:r>
        <w:t xml:space="preserve">Memory scores on the Test of Experiment 3.</w:t>
      </w:r>
    </w:p>
    <w:p>
      <w:pPr>
        <w:pStyle w:val="FigureWithNote"/>
      </w:pPr>
      <w:r>
        <w:drawing>
          <wp:inline>
            <wp:extent cx="5943600" cy="3657600"/>
            <wp:effectExtent b="0" l="0" r="0" t="0"/>
            <wp:docPr descr="" title="" id="101" name="Picture"/>
            <a:graphic>
              <a:graphicData uri="http://schemas.openxmlformats.org/drawingml/2006/picture">
                <pic:pic>
                  <pic:nvPicPr>
                    <pic:cNvPr descr="UNM_draft_files/figure-docx/fig-testExp3-1.png" id="102" name="Picture"/>
                    <pic:cNvPicPr>
                      <a:picLocks noChangeArrowheads="1" noChangeAspect="1"/>
                    </pic:cNvPicPr>
                  </pic:nvPicPr>
                  <pic:blipFill>
                    <a:blip r:embed="rId100"/>
                    <a:stretch>
                      <a:fillRect/>
                    </a:stretch>
                  </pic:blipFill>
                  <pic:spPr bwMode="auto">
                    <a:xfrm>
                      <a:off x="0" y="0"/>
                      <a:ext cx="5943600" cy="3657600"/>
                    </a:xfrm>
                    <a:prstGeom prst="rect">
                      <a:avLst/>
                    </a:prstGeom>
                    <a:noFill/>
                    <a:ln w="9525">
                      <a:noFill/>
                      <a:headEnd/>
                      <a:tailEnd/>
                    </a:ln>
                  </pic:spPr>
                </pic:pic>
              </a:graphicData>
            </a:graphic>
          </wp:inline>
        </w:drawing>
      </w:r>
    </w:p>
    <w:bookmarkEnd w:id="103"/>
    <w:p>
      <w:pPr>
        <w:pStyle w:val="FigureNote"/>
      </w:pPr>
      <w:r>
        <w:rPr>
          <w:iCs/>
          <w:i/>
        </w:rPr>
        <w:t xml:space="preserve">Note</w:t>
      </w:r>
      <w:r>
        <w:t xml:space="preserve">. Mean memory scores (±SEM) on Test of Experiment 2 for predictive and non-predictive trials across the three groups.</w:t>
      </w:r>
    </w:p>
    <w:p>
      <w:pPr>
        <w:pStyle w:val="BodyText"/>
      </w:pPr>
      <w:r>
        <w:t xml:space="preserve">A mixed model ANOVA, including the between-subjects factor</w:t>
      </w:r>
      <w:r>
        <w:t xml:space="preserve"> </w:t>
      </w:r>
      <w:r>
        <w:rPr>
          <w:iCs/>
          <w:i/>
        </w:rPr>
        <w:t xml:space="preserve">group</w:t>
      </w:r>
      <w:r>
        <w:t xml:space="preserve"> </w:t>
      </w:r>
      <w:r>
        <w:t xml:space="preserve">(Certain Long, Certain Short, Uncertain), and the within-subjects factor</w:t>
      </w:r>
      <w:r>
        <w:t xml:space="preserve"> </w:t>
      </w:r>
      <w:r>
        <w:rPr>
          <w:iCs/>
          <w:i/>
        </w:rPr>
        <w:t xml:space="preserve">predictiveness</w:t>
      </w:r>
      <w:r>
        <w:t xml:space="preserve"> </w:t>
      </w:r>
      <w:r>
        <w:t xml:space="preserve">(predictive vs non-predictive) showed a significant main effect of the</w:t>
      </w:r>
      <w:r>
        <w:t xml:space="preserve"> </w:t>
      </w:r>
      <w:r>
        <w:rPr>
          <w:iCs/>
          <w:i/>
        </w:rPr>
        <w:t xml:space="preserve">group</w:t>
      </w:r>
      <w:r>
        <w:t xml:space="preserve">, with moderate evidence for the alternative hypothesis,</w:t>
      </w:r>
      <w:r>
        <w:t xml:space="preserve"> </w:t>
      </w:r>
      <w:r>
        <w:rPr>
          <w:iCs/>
          <w:i/>
        </w:rPr>
        <w:t xml:space="preserve">F</w:t>
      </w:r>
      <w:r>
        <w:t xml:space="preserve">(2, 87) = 4.40,</w:t>
      </w:r>
      <w:r>
        <w:t xml:space="preserve"> </w:t>
      </w:r>
      <w:r>
        <w:rPr>
          <w:iCs/>
          <w:i/>
        </w:rPr>
        <w:t xml:space="preserve">p</w:t>
      </w:r>
      <w:r>
        <w:t xml:space="preserve"> </w:t>
      </w:r>
      <w:r>
        <w:t xml:space="preserve">= .015,</w:t>
      </w:r>
      <w:r>
        <w:t xml:space="preserve"> </w:t>
      </w:r>
      <m:oMath>
        <m:sSubSup>
          <m:e>
            <m:r>
              <m:t>η</m:t>
            </m:r>
          </m:e>
          <m:sub>
            <m:r>
              <m:t>p</m:t>
            </m:r>
          </m:sub>
          <m:sup>
            <m:r>
              <m:t>2</m:t>
            </m:r>
          </m:sup>
        </m:sSubSup>
      </m:oMath>
      <w:r>
        <w:t xml:space="preserve"> </w:t>
      </w:r>
      <w:r>
        <w:t xml:space="preserve">= .09, BF</w:t>
      </w:r>
      <w:r>
        <w:rPr>
          <w:vertAlign w:val="subscript"/>
        </w:rPr>
        <w:t xml:space="preserve">10</w:t>
      </w:r>
      <w:r>
        <w:t xml:space="preserve"> </w:t>
      </w:r>
      <w:r>
        <w:t xml:space="preserve">= 12.54 ± 0.01% and a main effect of</w:t>
      </w:r>
      <w:r>
        <w:t xml:space="preserve"> </w:t>
      </w:r>
      <w:r>
        <w:rPr>
          <w:iCs/>
          <w:i/>
        </w:rPr>
        <w:t xml:space="preserve">predictiveness</w:t>
      </w:r>
      <w:r>
        <w:t xml:space="preserve">, with extreme Bayesian evidence for the alternative hypothesis,,</w:t>
      </w:r>
      <w:r>
        <w:t xml:space="preserve"> </w:t>
      </w:r>
      <w:r>
        <w:rPr>
          <w:iCs/>
          <w:i/>
        </w:rPr>
        <w:t xml:space="preserve">F</w:t>
      </w:r>
      <w:r>
        <w:t xml:space="preserve">(1, 87) = 22.19,</w:t>
      </w:r>
      <w:r>
        <w:t xml:space="preserve"> </w:t>
      </w:r>
      <w:r>
        <w:rPr>
          <w:iCs/>
          <w:i/>
        </w:rPr>
        <w:t xml:space="preserve">p</w:t>
      </w:r>
      <w:r>
        <w:t xml:space="preserve"> </w:t>
      </w:r>
      <w:r>
        <w:t xml:space="preserve">&lt; .001,</w:t>
      </w:r>
      <w:r>
        <w:t xml:space="preserve"> </w:t>
      </w:r>
      <m:oMath>
        <m:sSubSup>
          <m:e>
            <m:r>
              <m:t>η</m:t>
            </m:r>
          </m:e>
          <m:sub>
            <m:r>
              <m:t>p</m:t>
            </m:r>
          </m:sub>
          <m:sup>
            <m:r>
              <m:t>2</m:t>
            </m:r>
          </m:sup>
        </m:sSubSup>
      </m:oMath>
      <w:r>
        <w:t xml:space="preserve"> </w:t>
      </w:r>
      <w:r>
        <w:t xml:space="preserve">= .20, BF</w:t>
      </w:r>
      <w:r>
        <w:rPr>
          <w:vertAlign w:val="subscript"/>
        </w:rPr>
        <w:t xml:space="preserve">10</w:t>
      </w:r>
      <w:r>
        <w:t xml:space="preserve"> </w:t>
      </w:r>
      <w:r>
        <w:t xml:space="preserve">= 16.55 ± 0%. However, the</w:t>
      </w:r>
      <w:r>
        <w:t xml:space="preserve"> </w:t>
      </w:r>
      <w:r>
        <w:rPr>
          <w:iCs/>
          <w:i/>
        </w:rPr>
        <w:t xml:space="preserve">groupxpredictiveness</w:t>
      </w:r>
      <w:r>
        <w:t xml:space="preserve"> </w:t>
      </w:r>
      <w:r>
        <w:t xml:space="preserve">interaction failed to reach significance, showing anecdotal Bayesian evidence for the null hypothesis,</w:t>
      </w:r>
      <w:r>
        <w:t xml:space="preserve"> </w:t>
      </w:r>
      <w:r>
        <w:rPr>
          <w:iCs/>
          <w:i/>
        </w:rPr>
        <w:t xml:space="preserve">F</w:t>
      </w:r>
      <w:r>
        <w:t xml:space="preserve">(2, 87) = 2.42,</w:t>
      </w:r>
      <w:r>
        <w:t xml:space="preserve"> </w:t>
      </w:r>
      <w:r>
        <w:rPr>
          <w:iCs/>
          <w:i/>
        </w:rPr>
        <w:t xml:space="preserve">p</w:t>
      </w:r>
      <w:r>
        <w:t xml:space="preserve"> </w:t>
      </w:r>
      <w:r>
        <w:t xml:space="preserve">= .095,</w:t>
      </w:r>
      <w:r>
        <w:t xml:space="preserve"> </w:t>
      </w:r>
      <m:oMath>
        <m:sSubSup>
          <m:e>
            <m:r>
              <m:t>η</m:t>
            </m:r>
          </m:e>
          <m:sub>
            <m:r>
              <m:t>p</m:t>
            </m:r>
          </m:sub>
          <m:sup>
            <m:r>
              <m:t>2</m:t>
            </m:r>
          </m:sup>
        </m:sSubSup>
      </m:oMath>
      <w:r>
        <w:t xml:space="preserve"> </w:t>
      </w:r>
      <w:r>
        <w:t xml:space="preserve">= .05, BF</w:t>
      </w:r>
      <w:r>
        <w:rPr>
          <w:vertAlign w:val="subscript"/>
        </w:rPr>
        <w:t xml:space="preserve">10</w:t>
      </w:r>
      <w:r>
        <w:t xml:space="preserve"> </w:t>
      </w:r>
      <w:r>
        <w:t xml:space="preserve">= 0.25 ± 5.98%. Bonferroni corrected post-hoc comparisons on the factor of group showed that group Uncertain differed significantly from the average of the Certain groups,</w:t>
      </w:r>
      <w:r>
        <w:t xml:space="preserve"> </w:t>
      </w:r>
      <w:r>
        <w:rPr>
          <w:iCs/>
          <w:i/>
        </w:rPr>
        <w:t xml:space="preserve">t</w:t>
      </w:r>
      <w:r>
        <w:t xml:space="preserve">(87) = 1.18,</w:t>
      </w:r>
      <w:r>
        <w:t xml:space="preserve"> </w:t>
      </w:r>
      <w:r>
        <w:rPr>
          <w:iCs/>
          <w:i/>
        </w:rPr>
        <w:t xml:space="preserve">p</w:t>
      </w:r>
      <w:r>
        <w:t xml:space="preserve"> </w:t>
      </w:r>
      <w:r>
        <w:t xml:space="preserve">= .004, BF</w:t>
      </w:r>
      <w:r>
        <w:rPr>
          <w:vertAlign w:val="subscript"/>
        </w:rPr>
        <w:t xml:space="preserve">10</w:t>
      </w:r>
      <w:r>
        <w:t xml:space="preserve"> </w:t>
      </w:r>
      <w:r>
        <w:t xml:space="preserve">= 46.35 ± 0%, but memory scores for the two Certain groups did not differ the one from the other,</w:t>
      </w:r>
      <w:r>
        <w:t xml:space="preserve"> </w:t>
      </w:r>
      <w:r>
        <w:rPr>
          <w:iCs/>
          <w:i/>
        </w:rPr>
        <w:t xml:space="preserve">t</w:t>
      </w:r>
      <w:r>
        <w:t xml:space="preserve">(87) = 0.188,</w:t>
      </w:r>
      <w:r>
        <w:t xml:space="preserve"> </w:t>
      </w:r>
      <w:r>
        <w:rPr>
          <w:iCs/>
          <w:i/>
        </w:rPr>
        <w:t xml:space="preserve">p</w:t>
      </w:r>
      <w:r>
        <w:t xml:space="preserve"> </w:t>
      </w:r>
      <w:r>
        <w:t xml:space="preserve">= 1, BF</w:t>
      </w:r>
      <w:r>
        <w:rPr>
          <w:vertAlign w:val="subscript"/>
        </w:rPr>
        <w:t xml:space="preserve">10</w:t>
      </w:r>
      <w:r>
        <w:t xml:space="preserve"> </w:t>
      </w:r>
      <w:r>
        <w:t xml:space="preserve">= 0.22 ± 0.03%, with the Bayesian evidence suggesting that memory performance was the same in these two groups.</w:t>
      </w:r>
    </w:p>
    <w:p>
      <w:pPr>
        <w:pStyle w:val="BodyText"/>
      </w:pPr>
      <w:r>
        <w:t xml:space="preserve">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bookmarkEnd w:id="104"/>
    <w:bookmarkStart w:id="105" w:name="discussion-2"/>
    <w:p>
      <w:pPr>
        <w:pStyle w:val="Heading2"/>
      </w:pPr>
      <w:r>
        <w:t xml:space="preserve">Discussion</w:t>
      </w:r>
    </w:p>
    <w:p>
      <w:pPr>
        <w:pStyle w:val="FirstParagraph"/>
      </w:pPr>
      <w:r>
        <w:t xml:space="preserve">Experiment 3 examined the effect of unexpected uncertainty on recognition memory. The</w:t>
      </w:r>
      <w:r>
        <w:t xml:space="preserve"> </w:t>
      </w:r>
      <w:r>
        <w:t xml:space="preserve">“</w:t>
      </w:r>
      <w:r>
        <w:t xml:space="preserve">Uncertain</w:t>
      </w:r>
      <w:r>
        <w:t xml:space="preserve">”</w:t>
      </w:r>
      <w:r>
        <w:t xml:space="preserve"> </w:t>
      </w:r>
      <w:r>
        <w:t xml:space="preserve">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pPr>
        <w:pStyle w:val="BodyText"/>
      </w:pPr>
      <w:r>
        <w:t xml:space="preserve">These results suggest that introducing a period of unexpected uncertainty results in enhanced cue processing and are consistent with previous results</w:t>
      </w:r>
      <w:r>
        <w:t xml:space="preserve"> </w:t>
      </w:r>
      <w:r>
        <w:t xml:space="preserve">(Easdale et al., 2019)</w:t>
      </w:r>
      <w:r>
        <w:t xml:space="preserve"> </w:t>
      </w:r>
      <w:r>
        <w:t xml:space="preserve">that showed that unexpected uncertainty enhanced learning. Easdale et al. used a training phase with 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w:t>
      </w:r>
      <w:r>
        <w:t xml:space="preserve"> </w:t>
      </w:r>
      <w:r>
        <w:t xml:space="preserve">“</w:t>
      </w:r>
      <w:r>
        <w:t xml:space="preserve">unexpected uncertainty</w:t>
      </w:r>
      <w:r>
        <w:t xml:space="preserve">”</w:t>
      </w:r>
      <w:r>
        <w:t xml:space="preserve"> </w:t>
      </w:r>
      <w:r>
        <w:t xml:space="preserve">which promoted new learning. Experiment 3 shows a more directly that a period of unexpected uncertainty leads to superior cue processing and stronger memory representations.</w:t>
      </w:r>
    </w:p>
    <w:bookmarkEnd w:id="105"/>
    <w:bookmarkEnd w:id="106"/>
    <w:bookmarkStart w:id="107" w:name="general-discussion"/>
    <w:p>
      <w:pPr>
        <w:pStyle w:val="Heading1"/>
      </w:pPr>
      <w:r>
        <w:t xml:space="preserve">General discussion</w:t>
      </w:r>
    </w:p>
    <w:p>
      <w:pPr>
        <w:pStyle w:val="FirstParagraph"/>
      </w:pPr>
      <w:r>
        <w:t xml:space="preserve">Three experiments explored the active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w:t>
      </w:r>
      <w:r>
        <w:t xml:space="preserve"> </w:t>
      </w:r>
      <w:r>
        <w:t xml:space="preserve">“</w:t>
      </w:r>
      <w:r>
        <w:t xml:space="preserve">memory score</w:t>
      </w:r>
      <w:r>
        <w:t xml:space="preserve">”</w:t>
      </w:r>
      <w:r>
        <w:t xml:space="preserve">. Memory scores were higher for the predictive than for the non-predictive cues. This result aligns with the well-established attentional bias that is observed for predictive over non-predictive cues in these designs</w:t>
      </w:r>
      <w:r>
        <w:t xml:space="preserve"> </w:t>
      </w:r>
      <w:r>
        <w:t xml:space="preserve">(e.g., Le Pelley et al., 2011)</w:t>
      </w:r>
      <w:r>
        <w:t xml:space="preserve">.</w:t>
      </w:r>
    </w:p>
    <w:p>
      <w:pPr>
        <w:pStyle w:val="BodyText"/>
      </w:pPr>
      <w:r>
        <w:t xml:space="preserve">In Experiment 2, the same</w:t>
      </w:r>
      <w:r>
        <w:t xml:space="preserve"> </w:t>
      </w:r>
      <w:r>
        <w:t xml:space="preserve">“</w:t>
      </w:r>
      <w:r>
        <w:t xml:space="preserve">certain</w:t>
      </w:r>
      <w:r>
        <w:t xml:space="preserve">”</w:t>
      </w:r>
      <w:r>
        <w:t xml:space="preserve"> </w:t>
      </w:r>
      <w:r>
        <w:t xml:space="preserve">condition was trained as in Experiment 1, in addition to an</w:t>
      </w:r>
      <w:r>
        <w:t xml:space="preserve"> </w:t>
      </w:r>
      <w:r>
        <w:t xml:space="preserve">“</w:t>
      </w:r>
      <w:r>
        <w:t xml:space="preserve">uncertain</w:t>
      </w:r>
      <w:r>
        <w:t xml:space="preserve">”</w:t>
      </w:r>
      <w:r>
        <w:t xml:space="preserve"> </w:t>
      </w:r>
      <w:r>
        <w:t xml:space="preserve">condition, in which there was a probabilistic relationship between the predictive cues and the outcomes. We predicted that uncertainty would increase the memory scores for cues, in line with the previously established increased levels of overt attention to cues trained under uncertain conditions</w:t>
      </w:r>
      <w:r>
        <w:t xml:space="preserve"> </w:t>
      </w:r>
      <w:r>
        <w:t xml:space="preserve">(e.g, Beesley et al., 2015; Easdale et al., 2019; Torrents-Rodas et al., 2023; Walker et al., 2019; Walker et al., 2022)</w:t>
      </w:r>
      <w:r>
        <w:t xml:space="preserve">.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pPr>
        <w:pStyle w:val="BodyText"/>
      </w:pPr>
      <w:r>
        <w:t xml:space="preserve">Experiment 3 explored the differences in recognition memory for conditions of</w:t>
      </w:r>
      <w:r>
        <w:t xml:space="preserve"> </w:t>
      </w:r>
      <w:r>
        <w:t xml:space="preserve">“</w:t>
      </w:r>
      <w:r>
        <w:t xml:space="preserve">expected</w:t>
      </w:r>
      <w:r>
        <w:t xml:space="preserve">”</w:t>
      </w:r>
      <w:r>
        <w:t xml:space="preserve"> </w:t>
      </w:r>
      <w:r>
        <w:t xml:space="preserve">and</w:t>
      </w:r>
      <w:r>
        <w:t xml:space="preserve"> </w:t>
      </w:r>
      <w:r>
        <w:t xml:space="preserve">“</w:t>
      </w:r>
      <w:r>
        <w:t xml:space="preserve">unexpected</w:t>
      </w:r>
      <w:r>
        <w:t xml:space="preserve">”</w:t>
      </w:r>
      <w:r>
        <w:t xml:space="preserve"> </w:t>
      </w:r>
      <w:r>
        <w:t xml:space="preserve">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short-certain condition, and therefore a short period of unexpected uncertainty appears to enhance the memory for, and thus processing of, the cues.</w:t>
      </w:r>
    </w:p>
    <w:p>
      <w:pPr>
        <w:pStyle w:val="BodyText"/>
      </w:pPr>
      <w:r>
        <w:t xml:space="preserve">Attentional theories of associative learning have long recognised the role that uncertainty plays in determining the allocation of processing resources to stimuli in the environment. According to the Pearce and Hall</w:t>
      </w:r>
      <w:r>
        <w:t xml:space="preserve"> </w:t>
      </w:r>
      <w:r>
        <w:t xml:space="preserve">(1980)</w:t>
      </w:r>
      <w:r>
        <w:t xml:space="preserve"> </w:t>
      </w:r>
      <w:r>
        <w:t xml:space="preserve">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w:t>
      </w:r>
      <w:r>
        <w:t xml:space="preserve"> </w:t>
      </w:r>
      <w:r>
        <w:t xml:space="preserve">(1982)</w:t>
      </w:r>
      <w:r>
        <w:t xml:space="preserve"> </w:t>
      </w:r>
      <w:r>
        <w:t xml:space="preserve">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w:t>
      </w:r>
      <w:r>
        <w:t xml:space="preserve"> </w:t>
      </w:r>
      <w:r>
        <w:t xml:space="preserve">(Pearce et al., 1982; Pearce &amp; Hall, 1980)</w:t>
      </w:r>
      <w:r>
        <w:t xml:space="preserve">),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w:t>
      </w:r>
      <w:r>
        <w:t xml:space="preserve"> </w:t>
      </w:r>
      <w:r>
        <w:t xml:space="preserve">(Beesley et al., 2015; Easdale et al., 2019; Walker et al., 2019; Walker et al., 2022)</w:t>
      </w:r>
      <w:r>
        <w:t xml:space="preserve">), the results of Experiment 2 provide insights into the complex relationships between overt attention, active stimulus processing, and associative learning. The data from Experiment 2 suggest that the circumstances that favour high levels of overt attention do not necessarily translate directly into active and enhanced processing of the stimuli. Thus, the data are consistent with the failures to observe more rapid learning about new associations under such conditions of uncertainty</w:t>
      </w:r>
      <w:r>
        <w:t xml:space="preserve"> </w:t>
      </w:r>
      <w:r>
        <w:t xml:space="preserve">(Beesley et al., 2015; Easdale et al., 2019; Torrents-Rodas et al., 2023)</w:t>
      </w:r>
      <w:r>
        <w:t xml:space="preserve">. Taken alone, the data from Experiment 2 suggest that the hitherto assumption that eye-gaze dwell time can be used as a proxy measure of stimulus associability, is on shaky ground.</w:t>
      </w:r>
    </w:p>
    <w:p>
      <w:pPr>
        <w:pStyle w:val="BodyText"/>
      </w:pPr>
      <w:r>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In light of the findings of Experiment 2, these findings from Experiment 3 provide strong evidence for the distinction made by</w:t>
      </w:r>
      <w:r>
        <w:t xml:space="preserve"> </w:t>
      </w:r>
      <w:r>
        <w:t xml:space="preserve">(2019)</w:t>
      </w:r>
      <w:r>
        <w:t xml:space="preserve"> </w:t>
      </w:r>
      <w:r>
        <w:t xml:space="preserve">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pPr>
        <w:pStyle w:val="BodyText"/>
      </w:pPr>
      <w:r>
        <w:t xml:space="preserve">In view of the analysis provided in the context of the Pearce and Hall model, it is clear that the conditions of expected uncertainty present a major challenge to attentional theories of associative learning. The data from the current studies and others using similar designs</w:t>
      </w:r>
      <w:r>
        <w:t xml:space="preserve"> </w:t>
      </w:r>
      <w:r>
        <w:t xml:space="preserve">(Beesley et al., 2015; Easdale et al., 2019; Walker et al., 2019; Walker et al., 2022)</w:t>
      </w:r>
      <w:r>
        <w:t xml:space="preserve"> </w:t>
      </w:r>
      <w:r>
        <w:t xml:space="preserve">illustrates that the cognitive system is sensitive not just to the absolute level of prediction error, but how long that prediction error has been experienced for, and how stable that pattern of uncertainty has been. Indeed, the manner in which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w:t>
      </w:r>
      <w:r>
        <w:t xml:space="preserve"> </w:t>
      </w:r>
      <w:r>
        <w:t xml:space="preserve">“</w:t>
      </w:r>
      <w:r>
        <w:t xml:space="preserve">vigilance</w:t>
      </w:r>
      <w:r>
        <w:t xml:space="preserve">”</w:t>
      </w:r>
      <w:r>
        <w:t xml:space="preserve"> </w:t>
      </w:r>
      <w:r>
        <w:t xml:space="preserve">on the task.</w:t>
      </w:r>
    </w:p>
    <w:p>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w:t>
      </w:r>
      <w:r>
        <w:t xml:space="preserve"> </w:t>
      </w:r>
      <w:r>
        <w:rPr>
          <w:iCs/>
          <w:i/>
        </w:rPr>
        <w:t xml:space="preserve">F</w:t>
      </w:r>
      <w:r>
        <w:t xml:space="preserve">(2, 87) = 2.42,</w:t>
      </w:r>
      <w:r>
        <w:t xml:space="preserve"> </w:t>
      </w:r>
      <w:r>
        <w:rPr>
          <w:iCs/>
          <w:i/>
        </w:rPr>
        <w:t xml:space="preserve">p</w:t>
      </w:r>
      <w:r>
        <w:t xml:space="preserve"> </w:t>
      </w:r>
      <w:r>
        <w:t xml:space="preserve">= .095,</w:t>
      </w:r>
      <w:r>
        <w:t xml:space="preserve"> </w:t>
      </w:r>
      <m:oMath>
        <m:sSubSup>
          <m:e>
            <m:r>
              <m:t>η</m:t>
            </m:r>
          </m:e>
          <m:sub>
            <m:r>
              <m:t>p</m:t>
            </m:r>
          </m:sub>
          <m:sup>
            <m:r>
              <m:t>2</m:t>
            </m:r>
          </m:sup>
        </m:sSubSup>
      </m:oMath>
      <w:r>
        <w:t xml:space="preserve"> </w:t>
      </w:r>
      <w:r>
        <w:t xml:space="preserve">= .05, BF</w:t>
      </w:r>
      <w:r>
        <w:rPr>
          <w:vertAlign w:val="subscript"/>
        </w:rPr>
        <w:t xml:space="preserve">10</w:t>
      </w:r>
      <w:r>
        <w:t xml:space="preserve"> </w:t>
      </w:r>
      <w:r>
        <w:t xml:space="preserve">= 0.25 ± 5.98%. Thus, our analysis of the simple main effects is entirely exploratory, but this found a significant effect of group on the memory scores for non-predictive cues,</w:t>
      </w:r>
      <w:r>
        <w:t xml:space="preserve"> </w:t>
      </w:r>
      <w:r>
        <w:rPr>
          <w:iCs/>
          <w:i/>
        </w:rPr>
        <w:t xml:space="preserve">F</w:t>
      </w:r>
      <w:r>
        <w:t xml:space="preserve">(2, 87) = 6.75,</w:t>
      </w:r>
      <w:r>
        <w:t xml:space="preserve"> </w:t>
      </w:r>
      <w:r>
        <w:rPr>
          <w:iCs/>
          <w:i/>
        </w:rPr>
        <w:t xml:space="preserve">p</w:t>
      </w:r>
      <w:r>
        <w:t xml:space="preserve"> </w:t>
      </w:r>
      <w:r>
        <w:t xml:space="preserve">= .004, but not for the predictive cues,</w:t>
      </w:r>
      <w:r>
        <w:t xml:space="preserve"> </w:t>
      </w:r>
      <w:r>
        <w:rPr>
          <w:iCs/>
          <w:i/>
        </w:rPr>
        <w:t xml:space="preserve">F</w:t>
      </w:r>
      <w:r>
        <w:t xml:space="preserve"> </w:t>
      </w:r>
      <w:r>
        <w:t xml:space="preserve">(2, 87) = 1.13,</w:t>
      </w:r>
      <w:r>
        <w:t xml:space="preserve"> </w:t>
      </w:r>
      <w:r>
        <w:rPr>
          <w:iCs/>
          <w:i/>
        </w:rPr>
        <w:t xml:space="preserve">p</w:t>
      </w:r>
      <w:r>
        <w:t xml:space="preserve"> </w:t>
      </w:r>
      <w:r>
        <w:t xml:space="preserve">= .328. Thus, there is a suggestion that the elevated levels of recognition memory seen for the unexpected uncertain condition in Experiment 3 was primarily driven by increases in cue-processing for the non-predictive cues.</w:t>
      </w:r>
    </w:p>
    <w:p>
      <w:pPr>
        <w:pStyle w:val="BodyText"/>
      </w:pPr>
      <w:r>
        <w:t xml:space="preserve">According to the uncertainty principle, the increased levels of attention to cues associated with uncertainty operates as a mechanism to discover new cue-outcome relationships. This process has been referred to as</w:t>
      </w:r>
      <w:r>
        <w:t xml:space="preserve"> </w:t>
      </w:r>
      <w:r>
        <w:t xml:space="preserve">“</w:t>
      </w:r>
      <w:r>
        <w:t xml:space="preserve">exploratory attention</w:t>
      </w:r>
      <w:r>
        <w:t xml:space="preserve">”</w:t>
      </w:r>
      <w:r>
        <w:t xml:space="preserve"> </w:t>
      </w:r>
      <w:r>
        <w:t xml:space="preserve">(e.g., Beesley et al., 2015; Easdale et al., 2019)</w:t>
      </w:r>
      <w:r>
        <w:t xml:space="preserve"> </w:t>
      </w:r>
      <w:r>
        <w:t xml:space="preserve">or</w:t>
      </w:r>
      <w:r>
        <w:t xml:space="preserve"> </w:t>
      </w:r>
      <w:r>
        <w:t xml:space="preserve">“</w:t>
      </w:r>
      <w:r>
        <w:t xml:space="preserve">attention for learning</w:t>
      </w:r>
      <w:r>
        <w:t xml:space="preserve">”</w:t>
      </w:r>
      <w:r>
        <w:t xml:space="preserve"> </w:t>
      </w:r>
      <w:r>
        <w:t xml:space="preserve">(e.g., Hall &amp; Rodr’ıguez, 2019)</w:t>
      </w:r>
      <w:r>
        <w:t xml:space="preserve">. Thus, it is an attempt to resolve the prediction errors that are experienced by learning new and valid signals for the outcomes. In Experiment 3, it is possible that the non-predictive cues have greater</w:t>
      </w:r>
      <w:r>
        <w:t xml:space="preserve"> </w:t>
      </w:r>
      <w:r>
        <w:t xml:space="preserve">“</w:t>
      </w:r>
      <w:r>
        <w:t xml:space="preserve">capacity</w:t>
      </w:r>
      <w:r>
        <w:t xml:space="preserve">”</w:t>
      </w:r>
      <w:r>
        <w:t xml:space="preserve"> </w:t>
      </w:r>
      <w:r>
        <w:t xml:space="preserve">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Easdale et al.</w:t>
      </w:r>
      <w:r>
        <w:t xml:space="preserve"> </w:t>
      </w:r>
      <w:r>
        <w:t xml:space="preserve">(2019)</w:t>
      </w:r>
      <w:r>
        <w:t xml:space="preserve">, participants could resolve the uncertainty in a second stage by learning about the meaningful associations pertaining to the previously non-predictive cues. In this situation increased attentional processing of the non-predictive cues was observed.</w:t>
      </w:r>
    </w:p>
    <w:p>
      <w:pPr>
        <w:pStyle w:val="BodyText"/>
      </w:pPr>
      <w:r>
        <w:t xml:space="preserve">This characterisation of the effect as one driven primarily by changes in processing for non-predictive cues is also consistent with the theory protection account proposed by Spicer and colleagues</w:t>
      </w:r>
      <w:r>
        <w:t xml:space="preserve"> </w:t>
      </w:r>
      <w:r>
        <w:t xml:space="preserve">(2020, 2022)</w:t>
      </w:r>
      <w:r>
        <w:t xml:space="preserve">.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manner in which attentional resources are allocated during uncertainty.</w:t>
      </w:r>
    </w:p>
    <w:p>
      <w:pPr>
        <w:pStyle w:val="BodyText"/>
      </w:pPr>
      <w:r>
        <w:t xml:space="preserve">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w:t>
      </w:r>
      <w:r>
        <w:t xml:space="preserve"> </w:t>
      </w:r>
      <w:r>
        <w:t xml:space="preserve">(Beesley et al., 2015; Easdale et al., 2019; Walker et al., 2019; Walker et al., 2022)</w:t>
      </w:r>
      <w:r>
        <w:t xml:space="preserve">. The finding that higher overt attention doesn’t lead to faster learning</w:t>
      </w:r>
      <w:r>
        <w:t xml:space="preserve"> </w:t>
      </w:r>
      <w:r>
        <w:t xml:space="preserve">(Beesley et al., 2015; Easdale et al., 2019; Torrents-Rodas et al., 2023)</w:t>
      </w:r>
      <w:r>
        <w:t xml:space="preserve"> </w:t>
      </w:r>
      <w:r>
        <w:t xml:space="preserve">and, in the current studies, that it doesn’t lead to greater cue-processing, is problematic for our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w:t>
      </w:r>
      <w:r>
        <w:t xml:space="preserve"> </w:t>
      </w:r>
      <w:r>
        <w:t xml:space="preserve">(e.g., Simons &amp; Chabris, 1999)</w:t>
      </w:r>
      <w:r>
        <w:t xml:space="preserve">; looking does not always reflect an active and engaged attentional process.</w:t>
      </w:r>
    </w:p>
    <w:p>
      <w:pPr>
        <w:pStyle w:val="BodyText"/>
      </w:pPr>
      <w:r>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learning will need to accommodate and refine our understanding of expected and unexpected uncertainty in order to adequately map out the relationships between patterns of reinforcement, stimulus processing, and learning.</w:t>
      </w:r>
    </w:p>
    <w:bookmarkEnd w:id="107"/>
    <w:bookmarkStart w:id="172" w:name="references"/>
    <w:p>
      <w:pPr>
        <w:pStyle w:val="Heading1"/>
      </w:pPr>
      <w:r>
        <w:t xml:space="preserve">References</w:t>
      </w:r>
    </w:p>
    <w:bookmarkStart w:id="171" w:name="refs"/>
    <w:bookmarkStart w:id="109" w:name="X57168802aaa77f18e04bb7ff96f81d57c719ae1"/>
    <w:p>
      <w:pPr>
        <w:pStyle w:val="Bibliography"/>
      </w:pPr>
      <w:r>
        <w:t xml:space="preserve">Beesley, T., Nguyen, K. P., Pearson, D., &amp; Le Pelley, M. E. (2015). Uncertainty and predictiveness determine attention to cues during human associative learning.</w:t>
      </w:r>
      <w:r>
        <w:t xml:space="preserve"> </w:t>
      </w:r>
      <w:r>
        <w:rPr>
          <w:iCs/>
          <w:i/>
        </w:rPr>
        <w:t xml:space="preserve">Quarterly Journal of Experimental Psychology</w:t>
      </w:r>
      <w:r>
        <w:t xml:space="preserve">,</w:t>
      </w:r>
      <w:r>
        <w:t xml:space="preserve"> </w:t>
      </w:r>
      <w:r>
        <w:rPr>
          <w:iCs/>
          <w:i/>
        </w:rPr>
        <w:t xml:space="preserve">68</w:t>
      </w:r>
      <w:r>
        <w:t xml:space="preserve">(11), 2175–2199.</w:t>
      </w:r>
      <w:r>
        <w:t xml:space="preserve"> </w:t>
      </w:r>
      <w:hyperlink r:id="rId108">
        <w:r>
          <w:rPr>
            <w:rStyle w:val="Hyperlink"/>
          </w:rPr>
          <w:t xml:space="preserve">https://doi.org/10.1080/17470218.2015.1009919</w:t>
        </w:r>
      </w:hyperlink>
    </w:p>
    <w:bookmarkEnd w:id="109"/>
    <w:bookmarkStart w:id="111" w:name="ref-chunInteractionsAttentionMemory2007"/>
    <w:p>
      <w:pPr>
        <w:pStyle w:val="Bibliography"/>
      </w:pPr>
      <w:r>
        <w:t xml:space="preserve">Chun, M. M., &amp; Turk-Browne, N. B. (2007). Interactions between attention and memory.</w:t>
      </w:r>
      <w:r>
        <w:t xml:space="preserve"> </w:t>
      </w:r>
      <w:r>
        <w:rPr>
          <w:iCs/>
          <w:i/>
        </w:rPr>
        <w:t xml:space="preserve">Current Opinion in Neurobiology</w:t>
      </w:r>
      <w:r>
        <w:t xml:space="preserve">,</w:t>
      </w:r>
      <w:r>
        <w:t xml:space="preserve"> </w:t>
      </w:r>
      <w:r>
        <w:rPr>
          <w:iCs/>
          <w:i/>
        </w:rPr>
        <w:t xml:space="preserve">17</w:t>
      </w:r>
      <w:r>
        <w:t xml:space="preserve">(2), 177–184.</w:t>
      </w:r>
      <w:r>
        <w:t xml:space="preserve"> </w:t>
      </w:r>
      <w:hyperlink r:id="rId110">
        <w:r>
          <w:rPr>
            <w:rStyle w:val="Hyperlink"/>
          </w:rPr>
          <w:t xml:space="preserve">https://doi.org/10.1016/j.conb.2007.03.005</w:t>
        </w:r>
      </w:hyperlink>
    </w:p>
    <w:bookmarkEnd w:id="111"/>
    <w:bookmarkStart w:id="113" w:name="ref-craikLevelsProcessingFramework1972"/>
    <w:p>
      <w:pPr>
        <w:pStyle w:val="Bibliography"/>
      </w:pPr>
      <w:r>
        <w:t xml:space="preserve">Craik, F. I. M., &amp; Lockhart, R. S. (1972). Levels of processing:</w:t>
      </w:r>
      <w:r>
        <w:t xml:space="preserve"> </w:t>
      </w:r>
      <w:r>
        <w:t xml:space="preserve">A</w:t>
      </w:r>
      <w:r>
        <w:t xml:space="preserve"> </w:t>
      </w:r>
      <w:r>
        <w:t xml:space="preserve">framework for memory research.</w:t>
      </w:r>
      <w:r>
        <w:t xml:space="preserve"> </w:t>
      </w:r>
      <w:r>
        <w:rPr>
          <w:iCs/>
          <w:i/>
        </w:rPr>
        <w:t xml:space="preserve">Journal of Verbal Learning and Verbal Behavior</w:t>
      </w:r>
      <w:r>
        <w:t xml:space="preserve">,</w:t>
      </w:r>
      <w:r>
        <w:t xml:space="preserve"> </w:t>
      </w:r>
      <w:r>
        <w:rPr>
          <w:iCs/>
          <w:i/>
        </w:rPr>
        <w:t xml:space="preserve">11</w:t>
      </w:r>
      <w:r>
        <w:t xml:space="preserve">(6), 671–684.</w:t>
      </w:r>
      <w:r>
        <w:t xml:space="preserve"> </w:t>
      </w:r>
      <w:hyperlink r:id="rId112">
        <w:r>
          <w:rPr>
            <w:rStyle w:val="Hyperlink"/>
          </w:rPr>
          <w:t xml:space="preserve">https://doi.org/10.1016/S0022-5371(72)80001-X</w:t>
        </w:r>
      </w:hyperlink>
    </w:p>
    <w:bookmarkEnd w:id="113"/>
    <w:bookmarkStart w:id="115" w:name="X97490bacb8246f80fb4b5666c3d3f4d71e0e753"/>
    <w:p>
      <w:pPr>
        <w:pStyle w:val="Bibliography"/>
      </w:pPr>
      <w:r>
        <w:t xml:space="preserve">Easdale, L. C., Le Pelley, M. E., &amp; Beesley, T. (2019). The onset of uncertainty facilitates the learning of new associations by increasing attention to cues.</w:t>
      </w:r>
      <w:r>
        <w:t xml:space="preserve"> </w:t>
      </w:r>
      <w:r>
        <w:rPr>
          <w:iCs/>
          <w:i/>
        </w:rPr>
        <w:t xml:space="preserve">Quarterly Journal of Experimental Psychology</w:t>
      </w:r>
      <w:r>
        <w:t xml:space="preserve">,</w:t>
      </w:r>
      <w:r>
        <w:t xml:space="preserve"> </w:t>
      </w:r>
      <w:r>
        <w:rPr>
          <w:iCs/>
          <w:i/>
        </w:rPr>
        <w:t xml:space="preserve">72</w:t>
      </w:r>
      <w:r>
        <w:t xml:space="preserve">(2), 193–208.</w:t>
      </w:r>
      <w:r>
        <w:t xml:space="preserve"> </w:t>
      </w:r>
      <w:hyperlink r:id="rId114">
        <w:r>
          <w:rPr>
            <w:rStyle w:val="Hyperlink"/>
          </w:rPr>
          <w:t xml:space="preserve">https://doi.org/10.1080/17470218.2017.1363257</w:t>
        </w:r>
      </w:hyperlink>
    </w:p>
    <w:bookmarkEnd w:id="115"/>
    <w:bookmarkStart w:id="116" w:name="ref-faulStatisticalPowerAnalyses2007"/>
    <w:p>
      <w:pPr>
        <w:pStyle w:val="Bibliography"/>
      </w:pPr>
      <w:r>
        <w:t xml:space="preserve">Faul, F., Erdfelder, E., Lang, A.-G., &amp; Buchner, A. (2007). Statistical power analyses using</w:t>
      </w:r>
      <w:r>
        <w:t xml:space="preserve"> </w:t>
      </w:r>
      <w:r>
        <w:t xml:space="preserve">G</w:t>
      </w:r>
      <w:r>
        <w:t xml:space="preserve">*</w:t>
      </w:r>
      <w:r>
        <w:t xml:space="preserve">Power</w:t>
      </w:r>
      <w:r>
        <w:t xml:space="preserve"> </w:t>
      </w:r>
      <w:r>
        <w:t xml:space="preserve">3.1:</w:t>
      </w:r>
      <w:r>
        <w:t xml:space="preserve"> </w:t>
      </w:r>
      <w:r>
        <w:t xml:space="preserve">Tests</w:t>
      </w:r>
      <w:r>
        <w:t xml:space="preserve"> </w:t>
      </w:r>
      <w:r>
        <w:t xml:space="preserve">for correlation and regression analyses.</w:t>
      </w:r>
      <w:r>
        <w:t xml:space="preserve"> </w:t>
      </w:r>
      <w:r>
        <w:rPr>
          <w:iCs/>
          <w:i/>
        </w:rPr>
        <w:t xml:space="preserve">Behavior Research Methods</w:t>
      </w:r>
      <w:r>
        <w:t xml:space="preserve">,</w:t>
      </w:r>
      <w:r>
        <w:t xml:space="preserve"> </w:t>
      </w:r>
      <w:r>
        <w:rPr>
          <w:iCs/>
          <w:i/>
        </w:rPr>
        <w:t xml:space="preserve">39</w:t>
      </w:r>
      <w:r>
        <w:t xml:space="preserve">, 175–191.</w:t>
      </w:r>
    </w:p>
    <w:bookmarkEnd w:id="116"/>
    <w:bookmarkStart w:id="118" w:name="ref-griffithsNegativeTransferHuman2011"/>
    <w:p>
      <w:pPr>
        <w:pStyle w:val="Bibliography"/>
      </w:pPr>
      <w:r>
        <w:t xml:space="preserve">Griffiths, O., Johnson, A. M., &amp; Mitchell, C. J. (2011). Negative</w:t>
      </w:r>
      <w:r>
        <w:t xml:space="preserve"> </w:t>
      </w:r>
      <w:r>
        <w:t xml:space="preserve">Transfer</w:t>
      </w:r>
      <w:r>
        <w:t xml:space="preserve"> </w:t>
      </w:r>
      <w:r>
        <w:t xml:space="preserve">in</w:t>
      </w:r>
      <w:r>
        <w:t xml:space="preserve"> </w:t>
      </w:r>
      <w:r>
        <w:t xml:space="preserve">Human Associative Learning</w:t>
      </w:r>
      <w:r>
        <w:t xml:space="preserve">.</w:t>
      </w:r>
      <w:r>
        <w:t xml:space="preserve"> </w:t>
      </w:r>
      <w:r>
        <w:rPr>
          <w:iCs/>
          <w:i/>
        </w:rPr>
        <w:t xml:space="preserve">Psychological Science</w:t>
      </w:r>
      <w:r>
        <w:t xml:space="preserve">,</w:t>
      </w:r>
      <w:r>
        <w:t xml:space="preserve"> </w:t>
      </w:r>
      <w:r>
        <w:rPr>
          <w:iCs/>
          <w:i/>
        </w:rPr>
        <w:t xml:space="preserve">22</w:t>
      </w:r>
      <w:r>
        <w:t xml:space="preserve">(9), 1198–1204.</w:t>
      </w:r>
      <w:r>
        <w:t xml:space="preserve"> </w:t>
      </w:r>
      <w:hyperlink r:id="rId117">
        <w:r>
          <w:rPr>
            <w:rStyle w:val="Hyperlink"/>
          </w:rPr>
          <w:t xml:space="preserve">https://doi.org/10.1177/0956797611419305</w:t>
        </w:r>
      </w:hyperlink>
    </w:p>
    <w:bookmarkEnd w:id="118"/>
    <w:bookmarkStart w:id="120" w:name="ref-griffithsSelectiveAttentionHuman2008"/>
    <w:p>
      <w:pPr>
        <w:pStyle w:val="Bibliography"/>
      </w:pPr>
      <w:r>
        <w:t xml:space="preserve">Griffiths, O., &amp; Mitchell, C. J. (2008). Selective attention in human associative learning and recognition memory.</w:t>
      </w:r>
      <w:r>
        <w:t xml:space="preserve"> </w:t>
      </w:r>
      <w:r>
        <w:rPr>
          <w:iCs/>
          <w:i/>
        </w:rPr>
        <w:t xml:space="preserve">Journal of Experimental Psychology: General</w:t>
      </w:r>
      <w:r>
        <w:t xml:space="preserve">,</w:t>
      </w:r>
      <w:r>
        <w:t xml:space="preserve"> </w:t>
      </w:r>
      <w:r>
        <w:rPr>
          <w:iCs/>
          <w:i/>
        </w:rPr>
        <w:t xml:space="preserve">137</w:t>
      </w:r>
      <w:r>
        <w:t xml:space="preserve">(4), 626–648.</w:t>
      </w:r>
      <w:r>
        <w:t xml:space="preserve"> </w:t>
      </w:r>
      <w:hyperlink r:id="rId119">
        <w:r>
          <w:rPr>
            <w:rStyle w:val="Hyperlink"/>
          </w:rPr>
          <w:t xml:space="preserve">https://doi.org/10.1037/a0013685</w:t>
        </w:r>
      </w:hyperlink>
    </w:p>
    <w:bookmarkEnd w:id="120"/>
    <w:bookmarkStart w:id="122" w:name="ref-hallAttentionPerceiveLearn2019a"/>
    <w:p>
      <w:pPr>
        <w:pStyle w:val="Bibliography"/>
      </w:pPr>
      <w:r>
        <w:t xml:space="preserve">Hall, G., &amp; Rodr’ıguez, G. (2019). Attention to perceive, to learn and to respond.</w:t>
      </w:r>
      <w:r>
        <w:t xml:space="preserve"> </w:t>
      </w:r>
      <w:r>
        <w:rPr>
          <w:iCs/>
          <w:i/>
        </w:rPr>
        <w:t xml:space="preserve">Quarterly Journal of Experimental Psychology</w:t>
      </w:r>
      <w:r>
        <w:t xml:space="preserve">,</w:t>
      </w:r>
      <w:r>
        <w:t xml:space="preserve"> </w:t>
      </w:r>
      <w:r>
        <w:rPr>
          <w:iCs/>
          <w:i/>
        </w:rPr>
        <w:t xml:space="preserve">72</w:t>
      </w:r>
      <w:r>
        <w:t xml:space="preserve">(2), 335–345.</w:t>
      </w:r>
      <w:r>
        <w:t xml:space="preserve"> </w:t>
      </w:r>
      <w:hyperlink r:id="rId121">
        <w:r>
          <w:rPr>
            <w:rStyle w:val="Hyperlink"/>
          </w:rPr>
          <w:t xml:space="preserve">https://doi.org/10.1080/17470218.2017.1339719</w:t>
        </w:r>
      </w:hyperlink>
    </w:p>
    <w:bookmarkEnd w:id="122"/>
    <w:bookmarkStart w:id="124" w:name="ref-koenigRewardDrawsEye2017"/>
    <w:p>
      <w:pPr>
        <w:pStyle w:val="Bibliography"/>
      </w:pPr>
      <w:r>
        <w:t xml:space="preserve">Koenig, S., Kadel, H., Uengoer, M., Schubö, A., &amp; Lachnit, H. (2017). Reward</w:t>
      </w:r>
      <w:r>
        <w:t xml:space="preserve"> </w:t>
      </w:r>
      <w:r>
        <w:t xml:space="preserve">Draws</w:t>
      </w:r>
      <w:r>
        <w:t xml:space="preserve"> </w:t>
      </w:r>
      <w:r>
        <w:t xml:space="preserve">the</w:t>
      </w:r>
      <w:r>
        <w:t xml:space="preserve"> </w:t>
      </w:r>
      <w:r>
        <w:t xml:space="preserve">Eye</w:t>
      </w:r>
      <w:r>
        <w:t xml:space="preserve">,</w:t>
      </w:r>
      <w:r>
        <w:t xml:space="preserve"> </w:t>
      </w:r>
      <w:r>
        <w:t xml:space="preserve">Uncertainty Holds</w:t>
      </w:r>
      <w:r>
        <w:t xml:space="preserve"> </w:t>
      </w:r>
      <w:r>
        <w:t xml:space="preserve">the</w:t>
      </w:r>
      <w:r>
        <w:t xml:space="preserve"> </w:t>
      </w:r>
      <w:r>
        <w:t xml:space="preserve">Eye</w:t>
      </w:r>
      <w:r>
        <w:t xml:space="preserve">:</w:t>
      </w:r>
      <w:r>
        <w:t xml:space="preserve"> </w:t>
      </w:r>
      <w:r>
        <w:t xml:space="preserve">Associative Learning Modulates Distractor Interference</w:t>
      </w:r>
      <w:r>
        <w:t xml:space="preserve"> </w:t>
      </w:r>
      <w:r>
        <w:t xml:space="preserve">in</w:t>
      </w:r>
      <w:r>
        <w:t xml:space="preserve"> </w:t>
      </w:r>
      <w:r>
        <w:t xml:space="preserve">Visual Search</w:t>
      </w:r>
      <w:r>
        <w:t xml:space="preserve">.</w:t>
      </w:r>
      <w:r>
        <w:t xml:space="preserve"> </w:t>
      </w:r>
      <w:r>
        <w:rPr>
          <w:iCs/>
          <w:i/>
        </w:rPr>
        <w:t xml:space="preserve">Frontiers in Behavioral Neuroscience</w:t>
      </w:r>
      <w:r>
        <w:t xml:space="preserve">,</w:t>
      </w:r>
      <w:r>
        <w:t xml:space="preserve"> </w:t>
      </w:r>
      <w:r>
        <w:rPr>
          <w:iCs/>
          <w:i/>
        </w:rPr>
        <w:t xml:space="preserve">11</w:t>
      </w:r>
      <w:r>
        <w:t xml:space="preserve">.</w:t>
      </w:r>
      <w:r>
        <w:t xml:space="preserve"> </w:t>
      </w:r>
      <w:hyperlink r:id="rId123">
        <w:r>
          <w:rPr>
            <w:rStyle w:val="Hyperlink"/>
          </w:rPr>
          <w:t xml:space="preserve">https://www.frontiersin.org/articles/10.3389/fnbeh.2017.00128</w:t>
        </w:r>
      </w:hyperlink>
    </w:p>
    <w:bookmarkEnd w:id="124"/>
    <w:bookmarkStart w:id="126" w:name="ref-kruschkeUnifiedModelAttention2001"/>
    <w:p>
      <w:pPr>
        <w:pStyle w:val="Bibliography"/>
      </w:pPr>
      <w:r>
        <w:t xml:space="preserve">Kruschke, J. K. (2001). Toward a</w:t>
      </w:r>
      <w:r>
        <w:t xml:space="preserve"> </w:t>
      </w:r>
      <w:r>
        <w:t xml:space="preserve">Unified Model</w:t>
      </w:r>
      <w:r>
        <w:t xml:space="preserve"> </w:t>
      </w:r>
      <w:r>
        <w:t xml:space="preserve">of</w:t>
      </w:r>
      <w:r>
        <w:t xml:space="preserve"> </w:t>
      </w:r>
      <w:r>
        <w:t xml:space="preserve">Attention</w:t>
      </w:r>
      <w:r>
        <w:t xml:space="preserve"> </w:t>
      </w:r>
      <w:r>
        <w:t xml:space="preserve">in</w:t>
      </w:r>
      <w:r>
        <w:t xml:space="preserve"> </w:t>
      </w:r>
      <w:r>
        <w:t xml:space="preserve">Associative Learning</w:t>
      </w:r>
      <w:r>
        <w:t xml:space="preserve">.</w:t>
      </w:r>
      <w:r>
        <w:t xml:space="preserve"> </w:t>
      </w:r>
      <w:r>
        <w:rPr>
          <w:iCs/>
          <w:i/>
        </w:rPr>
        <w:t xml:space="preserve">Journal of Mathematical Psychology</w:t>
      </w:r>
      <w:r>
        <w:t xml:space="preserve">,</w:t>
      </w:r>
      <w:r>
        <w:t xml:space="preserve"> </w:t>
      </w:r>
      <w:r>
        <w:rPr>
          <w:iCs/>
          <w:i/>
        </w:rPr>
        <w:t xml:space="preserve">45</w:t>
      </w:r>
      <w:r>
        <w:t xml:space="preserve">(6), 812–863.</w:t>
      </w:r>
      <w:r>
        <w:t xml:space="preserve"> </w:t>
      </w:r>
      <w:hyperlink r:id="rId125">
        <w:r>
          <w:rPr>
            <w:rStyle w:val="Hyperlink"/>
          </w:rPr>
          <w:t xml:space="preserve">https://doi.org/10.1006/jmps.2000.1354</w:t>
        </w:r>
      </w:hyperlink>
    </w:p>
    <w:bookmarkEnd w:id="126"/>
    <w:bookmarkStart w:id="128" w:name="ref-kruschkeAttentionLearning2003"/>
    <w:p>
      <w:pPr>
        <w:pStyle w:val="Bibliography"/>
      </w:pPr>
      <w:r>
        <w:t xml:space="preserve">Kruschke, J. K. (2003). Attention in</w:t>
      </w:r>
      <w:r>
        <w:t xml:space="preserve"> </w:t>
      </w:r>
      <w:r>
        <w:t xml:space="preserve">Learning</w:t>
      </w:r>
      <w:r>
        <w:t xml:space="preserve">.</w:t>
      </w:r>
      <w:r>
        <w:t xml:space="preserve"> </w:t>
      </w:r>
      <w:r>
        <w:rPr>
          <w:iCs/>
          <w:i/>
        </w:rPr>
        <w:t xml:space="preserve">Current Directions in Psychological Science</w:t>
      </w:r>
      <w:r>
        <w:t xml:space="preserve">,</w:t>
      </w:r>
      <w:r>
        <w:t xml:space="preserve"> </w:t>
      </w:r>
      <w:r>
        <w:rPr>
          <w:iCs/>
          <w:i/>
        </w:rPr>
        <w:t xml:space="preserve">12</w:t>
      </w:r>
      <w:r>
        <w:t xml:space="preserve">(5), 171–175.</w:t>
      </w:r>
      <w:r>
        <w:t xml:space="preserve"> </w:t>
      </w:r>
      <w:hyperlink r:id="rId127">
        <w:r>
          <w:rPr>
            <w:rStyle w:val="Hyperlink"/>
          </w:rPr>
          <w:t xml:space="preserve">https://doi.org/10.1111/1467-8721.01254</w:t>
        </w:r>
      </w:hyperlink>
    </w:p>
    <w:bookmarkEnd w:id="128"/>
    <w:bookmarkStart w:id="130" w:name="ref-lepelleyRoleAssociativeHistory2004"/>
    <w:p>
      <w:pPr>
        <w:pStyle w:val="Bibliography"/>
      </w:pPr>
      <w:r>
        <w:t xml:space="preserve">Le Pelley, M. E. (2004). The</w:t>
      </w:r>
      <w:r>
        <w:t xml:space="preserve"> </w:t>
      </w:r>
      <w:r>
        <w:t xml:space="preserve">Role</w:t>
      </w:r>
      <w:r>
        <w:t xml:space="preserve"> </w:t>
      </w:r>
      <w:r>
        <w:t xml:space="preserve">of</w:t>
      </w:r>
      <w:r>
        <w:t xml:space="preserve"> </w:t>
      </w:r>
      <w:r>
        <w:t xml:space="preserve">Associative History</w:t>
      </w:r>
      <w:r>
        <w:t xml:space="preserve"> </w:t>
      </w:r>
      <w:r>
        <w:t xml:space="preserve">in</w:t>
      </w:r>
      <w:r>
        <w:t xml:space="preserve"> </w:t>
      </w:r>
      <w:r>
        <w:t xml:space="preserve">Models</w:t>
      </w:r>
      <w:r>
        <w:t xml:space="preserve"> </w:t>
      </w:r>
      <w:r>
        <w:t xml:space="preserve">of</w:t>
      </w:r>
      <w:r>
        <w:t xml:space="preserve"> </w:t>
      </w:r>
      <w:r>
        <w:t xml:space="preserve">Associative Learning</w:t>
      </w:r>
      <w:r>
        <w:t xml:space="preserve">:</w:t>
      </w:r>
      <w:r>
        <w:t xml:space="preserve"> </w:t>
      </w:r>
      <w:r>
        <w:t xml:space="preserve">A Selective Review</w:t>
      </w:r>
      <w:r>
        <w:t xml:space="preserve"> </w:t>
      </w:r>
      <w:r>
        <w:t xml:space="preserve">and a</w:t>
      </w:r>
      <w:r>
        <w:t xml:space="preserve"> </w:t>
      </w:r>
      <w:r>
        <w:t xml:space="preserve">Hybrid Model</w:t>
      </w:r>
      <w:r>
        <w:t xml:space="preserve">.</w:t>
      </w:r>
      <w:r>
        <w:t xml:space="preserve"> </w:t>
      </w:r>
      <w:r>
        <w:rPr>
          <w:iCs/>
          <w:i/>
        </w:rPr>
        <w:t xml:space="preserve">The Quarterly Journal of Experimental Psychology Section B</w:t>
      </w:r>
      <w:r>
        <w:t xml:space="preserve">,</w:t>
      </w:r>
      <w:r>
        <w:t xml:space="preserve"> </w:t>
      </w:r>
      <w:r>
        <w:rPr>
          <w:iCs/>
          <w:i/>
        </w:rPr>
        <w:t xml:space="preserve">57</w:t>
      </w:r>
      <w:r>
        <w:t xml:space="preserve">, 193–243.</w:t>
      </w:r>
      <w:r>
        <w:t xml:space="preserve"> </w:t>
      </w:r>
      <w:hyperlink r:id="rId129">
        <w:r>
          <w:rPr>
            <w:rStyle w:val="Hyperlink"/>
          </w:rPr>
          <w:t xml:space="preserve">https://doi.org/10.1080/02724990344000141</w:t>
        </w:r>
      </w:hyperlink>
    </w:p>
    <w:bookmarkEnd w:id="130"/>
    <w:bookmarkStart w:id="132" w:name="Xfd8e08b558d651fc386237bfe6725ed78bfff4d"/>
    <w:p>
      <w:pPr>
        <w:pStyle w:val="Bibliography"/>
      </w:pPr>
      <w:r>
        <w:t xml:space="preserve">Le Pelley, M. E., Beesley, T., &amp; Griffiths, O. (2011). Overt attention and predictiveness in human contingency learning.</w:t>
      </w:r>
      <w:r>
        <w:t xml:space="preserve"> </w:t>
      </w:r>
      <w:r>
        <w:rPr>
          <w:iCs/>
          <w:i/>
        </w:rPr>
        <w:t xml:space="preserve">Journal of Experimental Psychology. Animal Behavior Processes</w:t>
      </w:r>
      <w:r>
        <w:t xml:space="preserve">,</w:t>
      </w:r>
      <w:r>
        <w:t xml:space="preserve"> </w:t>
      </w:r>
      <w:r>
        <w:rPr>
          <w:iCs/>
          <w:i/>
        </w:rPr>
        <w:t xml:space="preserve">37</w:t>
      </w:r>
      <w:r>
        <w:t xml:space="preserve">(2), 220–229.</w:t>
      </w:r>
      <w:r>
        <w:t xml:space="preserve"> </w:t>
      </w:r>
      <w:hyperlink r:id="rId131">
        <w:r>
          <w:rPr>
            <w:rStyle w:val="Hyperlink"/>
          </w:rPr>
          <w:t xml:space="preserve">https://doi.org/10.1037/a0021384</w:t>
        </w:r>
      </w:hyperlink>
    </w:p>
    <w:bookmarkEnd w:id="132"/>
    <w:bookmarkStart w:id="134" w:name="Xb640d47b9b72f9c117f2588eb98bb6d7bc50a55"/>
    <w:p>
      <w:pPr>
        <w:pStyle w:val="Bibliography"/>
      </w:pPr>
      <w:r>
        <w:t xml:space="preserve">Le Pelley, M. E., Haselgrove, M., &amp; Esber, G. R. (2012). Modeling attention in associative learning:</w:t>
      </w:r>
      <w:r>
        <w:t xml:space="preserve"> </w:t>
      </w:r>
      <w:r>
        <w:t xml:space="preserve">Two</w:t>
      </w:r>
      <w:r>
        <w:t xml:space="preserve"> </w:t>
      </w:r>
      <w:r>
        <w:t xml:space="preserve">processes or one?</w:t>
      </w:r>
      <w:r>
        <w:t xml:space="preserve"> </w:t>
      </w:r>
      <w:r>
        <w:rPr>
          <w:iCs/>
          <w:i/>
        </w:rPr>
        <w:t xml:space="preserve">Learning &amp; Behavior</w:t>
      </w:r>
      <w:r>
        <w:t xml:space="preserve">,</w:t>
      </w:r>
      <w:r>
        <w:t xml:space="preserve"> </w:t>
      </w:r>
      <w:r>
        <w:rPr>
          <w:iCs/>
          <w:i/>
        </w:rPr>
        <w:t xml:space="preserve">40</w:t>
      </w:r>
      <w:r>
        <w:t xml:space="preserve">(3), 292–304.</w:t>
      </w:r>
      <w:r>
        <w:t xml:space="preserve"> </w:t>
      </w:r>
      <w:hyperlink r:id="rId133">
        <w:r>
          <w:rPr>
            <w:rStyle w:val="Hyperlink"/>
          </w:rPr>
          <w:t xml:space="preserve">https://doi.org/10.3758/s13420-012-0084-4</w:t>
        </w:r>
      </w:hyperlink>
    </w:p>
    <w:bookmarkEnd w:id="134"/>
    <w:bookmarkStart w:id="136" w:name="Xb206b7e771dee861385597d4f68bd3eb78e168d"/>
    <w:p>
      <w:pPr>
        <w:pStyle w:val="Bibliography"/>
      </w:pPr>
      <w:r>
        <w:t xml:space="preserve">Le Pelley, M. E., &amp; McLaren, I. P. L. (2003). Learned</w:t>
      </w:r>
      <w:r>
        <w:t xml:space="preserve"> </w:t>
      </w:r>
      <w:r>
        <w:t xml:space="preserve">Associability</w:t>
      </w:r>
      <w:r>
        <w:t xml:space="preserve"> </w:t>
      </w:r>
      <w:r>
        <w:t xml:space="preserve">and</w:t>
      </w:r>
      <w:r>
        <w:t xml:space="preserve"> </w:t>
      </w:r>
      <w:r>
        <w:t xml:space="preserve">Associative Change</w:t>
      </w:r>
      <w:r>
        <w:t xml:space="preserve"> </w:t>
      </w:r>
      <w:r>
        <w:t xml:space="preserve">in</w:t>
      </w:r>
      <w:r>
        <w:t xml:space="preserve"> </w:t>
      </w:r>
      <w:r>
        <w:t xml:space="preserve">Human Causal Learning</w:t>
      </w:r>
      <w:r>
        <w:t xml:space="preserve">.</w:t>
      </w:r>
      <w:r>
        <w:t xml:space="preserve"> </w:t>
      </w:r>
      <w:r>
        <w:rPr>
          <w:iCs/>
          <w:i/>
        </w:rPr>
        <w:t xml:space="preserve">The Quarterly Journal of Experimental Psychology Section B</w:t>
      </w:r>
      <w:r>
        <w:t xml:space="preserve">,</w:t>
      </w:r>
      <w:r>
        <w:t xml:space="preserve"> </w:t>
      </w:r>
      <w:r>
        <w:rPr>
          <w:iCs/>
          <w:i/>
        </w:rPr>
        <w:t xml:space="preserve">56</w:t>
      </w:r>
      <w:r>
        <w:t xml:space="preserve">, 68–79.</w:t>
      </w:r>
      <w:r>
        <w:t xml:space="preserve"> </w:t>
      </w:r>
      <w:hyperlink r:id="rId135">
        <w:r>
          <w:rPr>
            <w:rStyle w:val="Hyperlink"/>
          </w:rPr>
          <w:t xml:space="preserve">https://doi.org/10.1080/02724990244000179</w:t>
        </w:r>
      </w:hyperlink>
    </w:p>
    <w:bookmarkEnd w:id="136"/>
    <w:bookmarkStart w:id="138" w:name="X37723a9fa7f211c3ec5c6441aae85f8cec4184a"/>
    <w:p>
      <w:pPr>
        <w:pStyle w:val="Bibliography"/>
      </w:pPr>
      <w:r>
        <w:t xml:space="preserve">Le Pelley, M. E., Mitchell, C. J., Beesley, T., George, D. N., &amp; Wills, A. J. (2016). Attention and associative learning in humans:</w:t>
      </w:r>
      <w:r>
        <w:t xml:space="preserve"> </w:t>
      </w:r>
      <w:r>
        <w:t xml:space="preserve">An</w:t>
      </w:r>
      <w:r>
        <w:t xml:space="preserve"> </w:t>
      </w:r>
      <w:r>
        <w:t xml:space="preserve">integrative review.</w:t>
      </w:r>
      <w:r>
        <w:t xml:space="preserve"> </w:t>
      </w:r>
      <w:r>
        <w:rPr>
          <w:iCs/>
          <w:i/>
        </w:rPr>
        <w:t xml:space="preserve">Psychological Bulletin</w:t>
      </w:r>
      <w:r>
        <w:t xml:space="preserve">,</w:t>
      </w:r>
      <w:r>
        <w:t xml:space="preserve"> </w:t>
      </w:r>
      <w:r>
        <w:rPr>
          <w:iCs/>
          <w:i/>
        </w:rPr>
        <w:t xml:space="preserve">142</w:t>
      </w:r>
      <w:r>
        <w:t xml:space="preserve">(10), 1111–1140.</w:t>
      </w:r>
      <w:r>
        <w:t xml:space="preserve"> </w:t>
      </w:r>
      <w:hyperlink r:id="rId137">
        <w:r>
          <w:rPr>
            <w:rStyle w:val="Hyperlink"/>
          </w:rPr>
          <w:t xml:space="preserve">https://doi.org/10.1037/bul0000064</w:t>
        </w:r>
      </w:hyperlink>
    </w:p>
    <w:bookmarkEnd w:id="138"/>
    <w:bookmarkStart w:id="140" w:name="Xff036088e0f9f9bf506af0c3913d06364b8b5f0"/>
    <w:p>
      <w:pPr>
        <w:pStyle w:val="Bibliography"/>
      </w:pPr>
      <w:r>
        <w:t xml:space="preserve">Luque, D., Vadillo, M. A., Le Pelley, M. E., &amp; Beesley, T. (2017). Prediction and</w:t>
      </w:r>
      <w:r>
        <w:t xml:space="preserve"> </w:t>
      </w:r>
      <w:r>
        <w:t xml:space="preserve">Uncertainty</w:t>
      </w:r>
      <w:r>
        <w:t xml:space="preserve"> </w:t>
      </w:r>
      <w:r>
        <w:t xml:space="preserve">in</w:t>
      </w:r>
      <w:r>
        <w:t xml:space="preserve"> </w:t>
      </w:r>
      <w:r>
        <w:t xml:space="preserve">Associative Learning</w:t>
      </w:r>
      <w:r>
        <w:t xml:space="preserve">:</w:t>
      </w:r>
      <w:r>
        <w:t xml:space="preserve"> </w:t>
      </w:r>
      <w:r>
        <w:t xml:space="preserve">Examining Controlled</w:t>
      </w:r>
      <w:r>
        <w:t xml:space="preserve"> </w:t>
      </w:r>
      <w:r>
        <w:t xml:space="preserve">and</w:t>
      </w:r>
      <w:r>
        <w:t xml:space="preserve"> </w:t>
      </w:r>
      <w:r>
        <w:t xml:space="preserve">Automatic Components</w:t>
      </w:r>
      <w:r>
        <w:t xml:space="preserve"> </w:t>
      </w:r>
      <w:r>
        <w:t xml:space="preserve">of</w:t>
      </w:r>
      <w:r>
        <w:t xml:space="preserve"> </w:t>
      </w:r>
      <w:r>
        <w:t xml:space="preserve">Learned Attentional Biases</w:t>
      </w:r>
      <w:r>
        <w:t xml:space="preserve">.</w:t>
      </w:r>
      <w:r>
        <w:t xml:space="preserve"> </w:t>
      </w:r>
      <w:r>
        <w:rPr>
          <w:iCs/>
          <w:i/>
        </w:rPr>
        <w:t xml:space="preserve">Quarterly Journal of Experimental Psychology</w:t>
      </w:r>
      <w:r>
        <w:t xml:space="preserve">,</w:t>
      </w:r>
      <w:r>
        <w:t xml:space="preserve"> </w:t>
      </w:r>
      <w:r>
        <w:rPr>
          <w:iCs/>
          <w:i/>
        </w:rPr>
        <w:t xml:space="preserve">70</w:t>
      </w:r>
      <w:r>
        <w:t xml:space="preserve">(8), 1485–1503.</w:t>
      </w:r>
      <w:r>
        <w:t xml:space="preserve"> </w:t>
      </w:r>
      <w:hyperlink r:id="rId139">
        <w:r>
          <w:rPr>
            <w:rStyle w:val="Hyperlink"/>
          </w:rPr>
          <w:t xml:space="preserve">https://doi.org/10.1080/17470218.2016.1188407</w:t>
        </w:r>
      </w:hyperlink>
    </w:p>
    <w:bookmarkEnd w:id="140"/>
    <w:bookmarkStart w:id="142" w:name="X8615592d0c62214ee7b1fac041bf88aa7de962e"/>
    <w:p>
      <w:pPr>
        <w:pStyle w:val="Bibliography"/>
      </w:pPr>
      <w:r>
        <w:t xml:space="preserve">Mackintosh, N. J. (1975). A theory of attention:</w:t>
      </w:r>
      <w:r>
        <w:t xml:space="preserve"> </w:t>
      </w:r>
      <w:r>
        <w:t xml:space="preserve">Variations</w:t>
      </w:r>
      <w:r>
        <w:t xml:space="preserve"> </w:t>
      </w:r>
      <w:r>
        <w:t xml:space="preserve">in the associability of stimuli with reinforcement.</w:t>
      </w:r>
      <w:r>
        <w:t xml:space="preserve"> </w:t>
      </w:r>
      <w:r>
        <w:rPr>
          <w:iCs/>
          <w:i/>
        </w:rPr>
        <w:t xml:space="preserve">Psychological Review</w:t>
      </w:r>
      <w:r>
        <w:t xml:space="preserve">,</w:t>
      </w:r>
      <w:r>
        <w:t xml:space="preserve"> </w:t>
      </w:r>
      <w:r>
        <w:rPr>
          <w:iCs/>
          <w:i/>
        </w:rPr>
        <w:t xml:space="preserve">82</w:t>
      </w:r>
      <w:r>
        <w:t xml:space="preserve">(4), 276–298.</w:t>
      </w:r>
      <w:r>
        <w:t xml:space="preserve"> </w:t>
      </w:r>
      <w:hyperlink r:id="rId141">
        <w:r>
          <w:rPr>
            <w:rStyle w:val="Hyperlink"/>
          </w:rPr>
          <w:t xml:space="preserve">https://doi.org/10.1037/h0076778</w:t>
        </w:r>
      </w:hyperlink>
    </w:p>
    <w:bookmarkEnd w:id="142"/>
    <w:bookmarkStart w:id="144" w:name="ref-ottenBrainActivityEvent2006"/>
    <w:p>
      <w:pPr>
        <w:pStyle w:val="Bibliography"/>
      </w:pPr>
      <w:r>
        <w:t xml:space="preserve">Otten, L. J., Quayle, A. H., Akram, S., Ditewig, T. A., &amp; Rugg, M. D. (2006). Brain activity before an event predicts later recollection.</w:t>
      </w:r>
      <w:r>
        <w:t xml:space="preserve"> </w:t>
      </w:r>
      <w:r>
        <w:rPr>
          <w:iCs/>
          <w:i/>
        </w:rPr>
        <w:t xml:space="preserve">Nature Neuroscience</w:t>
      </w:r>
      <w:r>
        <w:t xml:space="preserve">,</w:t>
      </w:r>
      <w:r>
        <w:t xml:space="preserve"> </w:t>
      </w:r>
      <w:r>
        <w:rPr>
          <w:iCs/>
          <w:i/>
        </w:rPr>
        <w:t xml:space="preserve">9</w:t>
      </w:r>
      <w:r>
        <w:t xml:space="preserve">(4), 489–491.</w:t>
      </w:r>
      <w:r>
        <w:t xml:space="preserve"> </w:t>
      </w:r>
      <w:hyperlink r:id="rId143">
        <w:r>
          <w:rPr>
            <w:rStyle w:val="Hyperlink"/>
          </w:rPr>
          <w:t xml:space="preserve">https://doi.org/10.1038/nn1663</w:t>
        </w:r>
      </w:hyperlink>
    </w:p>
    <w:bookmarkEnd w:id="144"/>
    <w:bookmarkStart w:id="146" w:name="ref-pearceModelPavlovianLearning1980"/>
    <w:p>
      <w:pPr>
        <w:pStyle w:val="Bibliography"/>
      </w:pPr>
      <w:r>
        <w:t xml:space="preserve">Pearce, J. M., &amp; Hall, G. (1980). A model for</w:t>
      </w:r>
      <w:r>
        <w:t xml:space="preserve"> </w:t>
      </w:r>
      <w:r>
        <w:t xml:space="preserve">Pavlovian</w:t>
      </w:r>
      <w:r>
        <w:t xml:space="preserve"> </w:t>
      </w:r>
      <w:r>
        <w:t xml:space="preserve">learning:</w:t>
      </w:r>
      <w:r>
        <w:t xml:space="preserve"> </w:t>
      </w:r>
      <w:r>
        <w:t xml:space="preserve">Variations</w:t>
      </w:r>
      <w:r>
        <w:t xml:space="preserve"> </w:t>
      </w:r>
      <w:r>
        <w:t xml:space="preserve">in the effectiveness of conditioned but not of unconditioned stimuli.</w:t>
      </w:r>
      <w:r>
        <w:t xml:space="preserve"> </w:t>
      </w:r>
      <w:r>
        <w:rPr>
          <w:iCs/>
          <w:i/>
        </w:rPr>
        <w:t xml:space="preserve">Psychological Review</w:t>
      </w:r>
      <w:r>
        <w:t xml:space="preserve">,</w:t>
      </w:r>
      <w:r>
        <w:t xml:space="preserve"> </w:t>
      </w:r>
      <w:r>
        <w:rPr>
          <w:iCs/>
          <w:i/>
        </w:rPr>
        <w:t xml:space="preserve">87</w:t>
      </w:r>
      <w:r>
        <w:t xml:space="preserve">(6), 532–552.</w:t>
      </w:r>
      <w:r>
        <w:t xml:space="preserve"> </w:t>
      </w:r>
      <w:hyperlink r:id="rId145">
        <w:r>
          <w:rPr>
            <w:rStyle w:val="Hyperlink"/>
          </w:rPr>
          <w:t xml:space="preserve">https://doi.org/10.1037/0033-295X.87.6.532</w:t>
        </w:r>
      </w:hyperlink>
    </w:p>
    <w:bookmarkEnd w:id="146"/>
    <w:bookmarkStart w:id="147" w:name="ref-pearcePredictiveAccuracyStimulus1982"/>
    <w:p>
      <w:pPr>
        <w:pStyle w:val="Bibliography"/>
      </w:pPr>
      <w:r>
        <w:t xml:space="preserve">Pearce, J. M., Kaye, H., &amp; Hall, G. (1982). Predictive accuracy and stimulus associability:</w:t>
      </w:r>
      <w:r>
        <w:t xml:space="preserve"> </w:t>
      </w:r>
      <w:r>
        <w:t xml:space="preserve">Development</w:t>
      </w:r>
      <w:r>
        <w:t xml:space="preserve"> </w:t>
      </w:r>
      <w:r>
        <w:t xml:space="preserve">of a model for</w:t>
      </w:r>
      <w:r>
        <w:t xml:space="preserve"> </w:t>
      </w:r>
      <w:r>
        <w:t xml:space="preserve">Pavlovian</w:t>
      </w:r>
      <w:r>
        <w:t xml:space="preserve"> </w:t>
      </w:r>
      <w:r>
        <w:t xml:space="preserve">conditioning. In M. Commons, R. Herrnstein, &amp; A. R. Wagner (Eds.),</w:t>
      </w:r>
      <w:r>
        <w:t xml:space="preserve"> </w:t>
      </w:r>
      <w:r>
        <w:rPr>
          <w:iCs/>
          <w:i/>
        </w:rPr>
        <w:t xml:space="preserve">Quantitative analysis of behavior</w:t>
      </w:r>
      <w:r>
        <w:t xml:space="preserve"> </w:t>
      </w:r>
      <w:r>
        <w:t xml:space="preserve">(pp. 241–255). Ballinger.</w:t>
      </w:r>
    </w:p>
    <w:bookmarkEnd w:id="147"/>
    <w:bookmarkStart w:id="149" w:name="Xbbc100c68483f96c48b8662a8ebad22a1578ea2"/>
    <w:p>
      <w:pPr>
        <w:pStyle w:val="Bibliography"/>
      </w:pPr>
      <w:r>
        <w:t xml:space="preserve">Peirce, J., Gray, J. R., Simpson, S., MacAskill, M., Höchenberger, R., Sogo, H., Kastman, E., &amp; Lindeløv, J. K. (2019).</w:t>
      </w:r>
      <w:r>
        <w:t xml:space="preserve"> </w:t>
      </w:r>
      <w:r>
        <w:t xml:space="preserve">PsychoPy2</w:t>
      </w:r>
      <w:r>
        <w:t xml:space="preserve">:</w:t>
      </w:r>
      <w:r>
        <w:t xml:space="preserve"> </w:t>
      </w:r>
      <w:r>
        <w:t xml:space="preserve">Experiments</w:t>
      </w:r>
      <w:r>
        <w:t xml:space="preserve"> </w:t>
      </w:r>
      <w:r>
        <w:t xml:space="preserve">in behavior made easy.</w:t>
      </w:r>
      <w:r>
        <w:t xml:space="preserve"> </w:t>
      </w:r>
      <w:r>
        <w:rPr>
          <w:iCs/>
          <w:i/>
        </w:rPr>
        <w:t xml:space="preserve">Behavior Research Methods</w:t>
      </w:r>
      <w:r>
        <w:t xml:space="preserve">,</w:t>
      </w:r>
      <w:r>
        <w:t xml:space="preserve"> </w:t>
      </w:r>
      <w:r>
        <w:rPr>
          <w:iCs/>
          <w:i/>
        </w:rPr>
        <w:t xml:space="preserve">51</w:t>
      </w:r>
      <w:r>
        <w:t xml:space="preserve">(1), 195–203.</w:t>
      </w:r>
      <w:r>
        <w:t xml:space="preserve"> </w:t>
      </w:r>
      <w:hyperlink r:id="rId148">
        <w:r>
          <w:rPr>
            <w:rStyle w:val="Hyperlink"/>
          </w:rPr>
          <w:t xml:space="preserve">https://doi.org/10.3758/s13428-018-01193-y</w:t>
        </w:r>
      </w:hyperlink>
    </w:p>
    <w:bookmarkEnd w:id="149"/>
    <w:bookmarkStart w:id="151" w:name="Xed860d95052771f082df31e61cb75b3b779bab2"/>
    <w:p>
      <w:pPr>
        <w:pStyle w:val="Bibliography"/>
      </w:pPr>
      <w:r>
        <w:t xml:space="preserve">Rescorla, R., &amp; Wagner, A. R. (1972). A theory of</w:t>
      </w:r>
      <w:r>
        <w:t xml:space="preserve"> </w:t>
      </w:r>
      <w:r>
        <w:t xml:space="preserve">Pavlovian</w:t>
      </w:r>
      <w:r>
        <w:t xml:space="preserve"> </w:t>
      </w:r>
      <w:r>
        <w:t xml:space="preserve">conditioning :</w:t>
      </w:r>
      <w:r>
        <w:t xml:space="preserve"> </w:t>
      </w:r>
      <w:r>
        <w:t xml:space="preserve">Variations</w:t>
      </w:r>
      <w:r>
        <w:t xml:space="preserve"> </w:t>
      </w:r>
      <w:r>
        <w:t xml:space="preserve">in the effectiveness of reinforcement and nonreinforcement. In A. H. Black &amp; W. F. Prokasy (Eds.),</w:t>
      </w:r>
      <w:r>
        <w:t xml:space="preserve"> </w:t>
      </w:r>
      <w:r>
        <w:rPr>
          <w:iCs/>
          <w:i/>
        </w:rPr>
        <w:t xml:space="preserve">Classical</w:t>
      </w:r>
      <w:r>
        <w:rPr>
          <w:iCs/>
          <w:i/>
        </w:rPr>
        <w:t xml:space="preserve"> </w:t>
      </w:r>
      <w:r>
        <w:rPr>
          <w:iCs/>
          <w:i/>
        </w:rPr>
        <w:t xml:space="preserve">Conditioning II</w:t>
      </w:r>
      <w:r>
        <w:rPr>
          <w:iCs/>
          <w:i/>
        </w:rPr>
        <w:t xml:space="preserve">:</w:t>
      </w:r>
      <w:r>
        <w:rPr>
          <w:iCs/>
          <w:i/>
        </w:rPr>
        <w:t xml:space="preserve"> </w:t>
      </w:r>
      <w:r>
        <w:rPr>
          <w:iCs/>
          <w:i/>
        </w:rPr>
        <w:t xml:space="preserve">Current Theory</w:t>
      </w:r>
      <w:r>
        <w:rPr>
          <w:iCs/>
          <w:i/>
        </w:rPr>
        <w:t xml:space="preserve"> </w:t>
      </w:r>
      <w:r>
        <w:rPr>
          <w:iCs/>
          <w:i/>
        </w:rPr>
        <w:t xml:space="preserve">and</w:t>
      </w:r>
      <w:r>
        <w:rPr>
          <w:iCs/>
          <w:i/>
        </w:rPr>
        <w:t xml:space="preserve"> </w:t>
      </w:r>
      <w:r>
        <w:rPr>
          <w:iCs/>
          <w:i/>
        </w:rPr>
        <w:t xml:space="preserve">Research</w:t>
      </w:r>
      <w:r>
        <w:t xml:space="preserve"> </w:t>
      </w:r>
      <w:r>
        <w:t xml:space="preserve">(pp. 64–99). Appleton-Century-Crofts.</w:t>
      </w:r>
      <w:r>
        <w:t xml:space="preserve"> </w:t>
      </w:r>
      <w:hyperlink r:id="rId150">
        <w:r>
          <w:rPr>
            <w:rStyle w:val="Hyperlink"/>
          </w:rPr>
          <w:t xml:space="preserve">https://www.semanticscholar.org/paper/A-theory-of-Pavlovian-conditioning-%3A-Variations-in-Rescorla-Wagner/afaf65883ff75cc19926f61f181a687927789ad1</w:t>
        </w:r>
      </w:hyperlink>
    </w:p>
    <w:bookmarkEnd w:id="151"/>
    <w:bookmarkStart w:id="153" w:name="ref-schmajukLatentInhibitionNeural1996"/>
    <w:p>
      <w:pPr>
        <w:pStyle w:val="Bibliography"/>
      </w:pPr>
      <w:r>
        <w:t xml:space="preserve">Schmajuk, N. A., Lam, Y.-W., &amp; Gray, J. A. (1996). Latent inhibition:</w:t>
      </w:r>
      <w:r>
        <w:t xml:space="preserve"> </w:t>
      </w:r>
      <w:r>
        <w:t xml:space="preserve">A</w:t>
      </w:r>
      <w:r>
        <w:t xml:space="preserve"> </w:t>
      </w:r>
      <w:r>
        <w:t xml:space="preserve">neural network approach.</w:t>
      </w:r>
      <w:r>
        <w:t xml:space="preserve"> </w:t>
      </w:r>
      <w:r>
        <w:rPr>
          <w:iCs/>
          <w:i/>
        </w:rPr>
        <w:t xml:space="preserve">Journal of Experimental Psychology: Animal Behavior Processes</w:t>
      </w:r>
      <w:r>
        <w:t xml:space="preserve">,</w:t>
      </w:r>
      <w:r>
        <w:t xml:space="preserve"> </w:t>
      </w:r>
      <w:r>
        <w:rPr>
          <w:iCs/>
          <w:i/>
        </w:rPr>
        <w:t xml:space="preserve">22</w:t>
      </w:r>
      <w:r>
        <w:t xml:space="preserve">(3), 321–349.</w:t>
      </w:r>
      <w:r>
        <w:t xml:space="preserve"> </w:t>
      </w:r>
      <w:hyperlink r:id="rId152">
        <w:r>
          <w:rPr>
            <w:rStyle w:val="Hyperlink"/>
          </w:rPr>
          <w:t xml:space="preserve">https://doi.org/10.1037/0097-7403.22.3.321</w:t>
        </w:r>
      </w:hyperlink>
    </w:p>
    <w:bookmarkEnd w:id="153"/>
    <w:bookmarkStart w:id="155" w:name="ref-simonsGorillasOurMidst1999"/>
    <w:p>
      <w:pPr>
        <w:pStyle w:val="Bibliography"/>
      </w:pPr>
      <w:r>
        <w:t xml:space="preserve">Simons, D. J., &amp; Chabris, C. F. (1999). Gorillas in</w:t>
      </w:r>
      <w:r>
        <w:t xml:space="preserve"> </w:t>
      </w:r>
      <w:r>
        <w:t xml:space="preserve">Our Midst</w:t>
      </w:r>
      <w:r>
        <w:t xml:space="preserve">:</w:t>
      </w:r>
      <w:r>
        <w:t xml:space="preserve"> </w:t>
      </w:r>
      <w:r>
        <w:t xml:space="preserve">Sustained Inattentional Blindness</w:t>
      </w:r>
      <w:r>
        <w:t xml:space="preserve"> </w:t>
      </w:r>
      <w:r>
        <w:t xml:space="preserve">for</w:t>
      </w:r>
      <w:r>
        <w:t xml:space="preserve"> </w:t>
      </w:r>
      <w:r>
        <w:t xml:space="preserve">Dynamic Events</w:t>
      </w:r>
      <w:r>
        <w:t xml:space="preserve">.</w:t>
      </w:r>
      <w:r>
        <w:t xml:space="preserve"> </w:t>
      </w:r>
      <w:r>
        <w:rPr>
          <w:iCs/>
          <w:i/>
        </w:rPr>
        <w:t xml:space="preserve">Perception</w:t>
      </w:r>
      <w:r>
        <w:t xml:space="preserve">,</w:t>
      </w:r>
      <w:r>
        <w:t xml:space="preserve"> </w:t>
      </w:r>
      <w:r>
        <w:rPr>
          <w:iCs/>
          <w:i/>
        </w:rPr>
        <w:t xml:space="preserve">28</w:t>
      </w:r>
      <w:r>
        <w:t xml:space="preserve">(9), 1059–1074.</w:t>
      </w:r>
      <w:r>
        <w:t xml:space="preserve"> </w:t>
      </w:r>
      <w:hyperlink r:id="rId154">
        <w:r>
          <w:rPr>
            <w:rStyle w:val="Hyperlink"/>
          </w:rPr>
          <w:t xml:space="preserve">https://doi.org/10.1068/p281059</w:t>
        </w:r>
      </w:hyperlink>
    </w:p>
    <w:bookmarkEnd w:id="155"/>
    <w:bookmarkStart w:id="157" w:name="ref-spicerTheoryProtectionHumans2022"/>
    <w:p>
      <w:pPr>
        <w:pStyle w:val="Bibliography"/>
      </w:pPr>
      <w:r>
        <w:t xml:space="preserve">Spicer, S. G., Mitchell, C. J., Wills, A. J., Blake, K. L., &amp; Jones, P. M. (2022). Theory protection:</w:t>
      </w:r>
      <w:r>
        <w:t xml:space="preserve"> </w:t>
      </w:r>
      <w:r>
        <w:t xml:space="preserve">Do</w:t>
      </w:r>
      <w:r>
        <w:t xml:space="preserve"> </w:t>
      </w:r>
      <w:r>
        <w:t xml:space="preserve">humans protect existing associative links?</w:t>
      </w:r>
      <w:r>
        <w:t xml:space="preserve"> </w:t>
      </w:r>
      <w:r>
        <w:rPr>
          <w:iCs/>
          <w:i/>
        </w:rPr>
        <w:t xml:space="preserve">Journal of Experimental Psychology: Animal Learning and Cognition</w:t>
      </w:r>
      <w:r>
        <w:t xml:space="preserve">,</w:t>
      </w:r>
      <w:r>
        <w:t xml:space="preserve"> </w:t>
      </w:r>
      <w:r>
        <w:rPr>
          <w:iCs/>
          <w:i/>
        </w:rPr>
        <w:t xml:space="preserve">48</w:t>
      </w:r>
      <w:r>
        <w:t xml:space="preserve">(1), 1–16.</w:t>
      </w:r>
      <w:r>
        <w:t xml:space="preserve"> </w:t>
      </w:r>
      <w:hyperlink r:id="rId156">
        <w:r>
          <w:rPr>
            <w:rStyle w:val="Hyperlink"/>
          </w:rPr>
          <w:t xml:space="preserve">https://doi.org/10.1037/xan0000314</w:t>
        </w:r>
      </w:hyperlink>
    </w:p>
    <w:bookmarkEnd w:id="157"/>
    <w:bookmarkStart w:id="159" w:name="X41e53b9a38f956825671e4464aca419d40dec15"/>
    <w:p>
      <w:pPr>
        <w:pStyle w:val="Bibliography"/>
      </w:pPr>
      <w:r>
        <w:t xml:space="preserve">Spicer, S. G., Mitchell, C. J., Wills, A. J., &amp; Jones, P. M. (2020). Theory protection in associative learning:</w:t>
      </w:r>
      <w:r>
        <w:t xml:space="preserve"> </w:t>
      </w:r>
      <w:r>
        <w:t xml:space="preserve">Humans</w:t>
      </w:r>
      <w:r>
        <w:t xml:space="preserve"> </w:t>
      </w:r>
      <w:r>
        <w:t xml:space="preserve">maintain certain beliefs in a manner that violates prediction error.</w:t>
      </w:r>
      <w:r>
        <w:t xml:space="preserve"> </w:t>
      </w:r>
      <w:r>
        <w:rPr>
          <w:iCs/>
          <w:i/>
        </w:rPr>
        <w:t xml:space="preserve">Journal of Experimental Psychology: Animal Learning and Cognition</w:t>
      </w:r>
      <w:r>
        <w:t xml:space="preserve">,</w:t>
      </w:r>
      <w:r>
        <w:t xml:space="preserve"> </w:t>
      </w:r>
      <w:r>
        <w:rPr>
          <w:iCs/>
          <w:i/>
        </w:rPr>
        <w:t xml:space="preserve">46</w:t>
      </w:r>
      <w:r>
        <w:t xml:space="preserve">(2), 151–161.</w:t>
      </w:r>
      <w:r>
        <w:t xml:space="preserve"> </w:t>
      </w:r>
      <w:hyperlink r:id="rId158">
        <w:r>
          <w:rPr>
            <w:rStyle w:val="Hyperlink"/>
          </w:rPr>
          <w:t xml:space="preserve">https://doi.org/10.1037/xan0000225</w:t>
        </w:r>
      </w:hyperlink>
    </w:p>
    <w:bookmarkEnd w:id="159"/>
    <w:bookmarkStart w:id="160" w:name="ref-positteamRStudio2024"/>
    <w:p>
      <w:pPr>
        <w:pStyle w:val="Bibliography"/>
      </w:pPr>
      <w:r>
        <w:t xml:space="preserve">team, P. (2024).</w:t>
      </w:r>
      <w:r>
        <w:t xml:space="preserve"> </w:t>
      </w:r>
      <w:r>
        <w:rPr>
          <w:iCs/>
          <w:i/>
        </w:rPr>
        <w:t xml:space="preserve">RStudio</w:t>
      </w:r>
      <w:r>
        <w:t xml:space="preserve"> </w:t>
      </w:r>
      <w:r>
        <w:t xml:space="preserve">(Version 2023.12.1.402) [Computer software].</w:t>
      </w:r>
    </w:p>
    <w:bookmarkEnd w:id="160"/>
    <w:bookmarkStart w:id="162" w:name="X9908c3c11d2ce7c45992bd046a78b3587daa4e5"/>
    <w:p>
      <w:pPr>
        <w:pStyle w:val="Bibliography"/>
      </w:pPr>
      <w:r>
        <w:t xml:space="preserve">Team, R. C. (2023).</w:t>
      </w:r>
      <w:r>
        <w:t xml:space="preserve"> </w:t>
      </w:r>
      <w:r>
        <w:rPr>
          <w:iCs/>
          <w:i/>
        </w:rPr>
        <w:t xml:space="preserve">R: A language and environment for statistical computing</w:t>
      </w:r>
      <w:r>
        <w:t xml:space="preserve"> </w:t>
      </w:r>
      <w:r>
        <w:t xml:space="preserve">(Version 4.3.3) [Computer software]. R Foundation for Statistical Computing.</w:t>
      </w:r>
      <w:r>
        <w:t xml:space="preserve"> </w:t>
      </w:r>
      <w:hyperlink r:id="rId161">
        <w:r>
          <w:rPr>
            <w:rStyle w:val="Hyperlink"/>
          </w:rPr>
          <w:t xml:space="preserve">https://www.gbif.org/tool/81287/r-a-language-and-environment-for-statistical-computing</w:t>
        </w:r>
      </w:hyperlink>
    </w:p>
    <w:bookmarkEnd w:id="162"/>
    <w:bookmarkStart w:id="164" w:name="Xfcc8b3eec36c5eaa9e34fcb2c5a4466abd08553"/>
    <w:p>
      <w:pPr>
        <w:pStyle w:val="Bibliography"/>
      </w:pPr>
      <w:r>
        <w:t xml:space="preserve">Torrents-Rodas, D., Koenig, S., Uengoer, M., &amp; Lachnit, H. (2021). Evidence for two attentional mechanisms during learning.</w:t>
      </w:r>
      <w:r>
        <w:t xml:space="preserve"> </w:t>
      </w:r>
      <w:r>
        <w:rPr>
          <w:iCs/>
          <w:i/>
        </w:rPr>
        <w:t xml:space="preserve">Quarterly Journal of Experimental Psychology</w:t>
      </w:r>
      <w:r>
        <w:t xml:space="preserve">,</w:t>
      </w:r>
      <w:r>
        <w:t xml:space="preserve"> </w:t>
      </w:r>
      <w:r>
        <w:rPr>
          <w:iCs/>
          <w:i/>
        </w:rPr>
        <w:t xml:space="preserve">74</w:t>
      </w:r>
      <w:r>
        <w:t xml:space="preserve">(12), 2112–2123.</w:t>
      </w:r>
      <w:r>
        <w:t xml:space="preserve"> </w:t>
      </w:r>
      <w:hyperlink r:id="rId163">
        <w:r>
          <w:rPr>
            <w:rStyle w:val="Hyperlink"/>
          </w:rPr>
          <w:t xml:space="preserve">https://doi.org/10.1177/17470218211019308</w:t>
        </w:r>
      </w:hyperlink>
    </w:p>
    <w:bookmarkEnd w:id="164"/>
    <w:bookmarkStart w:id="166" w:name="X26919fe41897ac8cbcb0b7922f0d0d61d4d1ade"/>
    <w:p>
      <w:pPr>
        <w:pStyle w:val="Bibliography"/>
      </w:pPr>
      <w:r>
        <w:t xml:space="preserve">Torrents-Rodas, D., Koenig, S., Uengoer, M., &amp; Lachnit, H. (2023). The effect of prediction error on overt attention and learning in humans.</w:t>
      </w:r>
      <w:r>
        <w:t xml:space="preserve"> </w:t>
      </w:r>
      <w:r>
        <w:rPr>
          <w:iCs/>
          <w:i/>
        </w:rPr>
        <w:t xml:space="preserve">Behavioural Processes</w:t>
      </w:r>
      <w:r>
        <w:t xml:space="preserve">,</w:t>
      </w:r>
      <w:r>
        <w:t xml:space="preserve"> </w:t>
      </w:r>
      <w:r>
        <w:rPr>
          <w:iCs/>
          <w:i/>
        </w:rPr>
        <w:t xml:space="preserve">206</w:t>
      </w:r>
      <w:r>
        <w:t xml:space="preserve">, 104843.</w:t>
      </w:r>
      <w:r>
        <w:t xml:space="preserve"> </w:t>
      </w:r>
      <w:hyperlink r:id="rId165">
        <w:r>
          <w:rPr>
            <w:rStyle w:val="Hyperlink"/>
          </w:rPr>
          <w:t xml:space="preserve">https://doi.org/10.1016/j.beproc.2023.104843</w:t>
        </w:r>
      </w:hyperlink>
    </w:p>
    <w:bookmarkEnd w:id="166"/>
    <w:bookmarkStart w:id="168" w:name="ref-walkerRoleUncertaintyAttentional2019"/>
    <w:p>
      <w:pPr>
        <w:pStyle w:val="Bibliography"/>
      </w:pPr>
      <w:r>
        <w:t xml:space="preserve">Walker, A. R., Luque, D., Le Pelley, M. E., &amp; Beesley, T. (2019). The role of uncertainty in attentional and choice exploration.</w:t>
      </w:r>
      <w:r>
        <w:t xml:space="preserve"> </w:t>
      </w:r>
      <w:r>
        <w:rPr>
          <w:iCs/>
          <w:i/>
        </w:rPr>
        <w:t xml:space="preserve">Psychonomic Bulletin &amp; Review</w:t>
      </w:r>
      <w:r>
        <w:t xml:space="preserve">,</w:t>
      </w:r>
      <w:r>
        <w:t xml:space="preserve"> </w:t>
      </w:r>
      <w:r>
        <w:rPr>
          <w:iCs/>
          <w:i/>
        </w:rPr>
        <w:t xml:space="preserve">26</w:t>
      </w:r>
      <w:r>
        <w:t xml:space="preserve">(6), 1911–1916.</w:t>
      </w:r>
      <w:r>
        <w:t xml:space="preserve"> </w:t>
      </w:r>
      <w:hyperlink r:id="rId167">
        <w:r>
          <w:rPr>
            <w:rStyle w:val="Hyperlink"/>
          </w:rPr>
          <w:t xml:space="preserve">https://doi.org/10.3758/s13423-019-01653-2</w:t>
        </w:r>
      </w:hyperlink>
    </w:p>
    <w:bookmarkEnd w:id="168"/>
    <w:bookmarkStart w:id="170" w:name="Xff63290c98892f5cce55263c5c57f1781879f5f"/>
    <w:p>
      <w:pPr>
        <w:pStyle w:val="Bibliography"/>
      </w:pPr>
      <w:r>
        <w:t xml:space="preserve">Walker, A. R., Navarro, D. J., Newell, B. R., &amp; Beesley, T. (2022). Protection from uncertainty in the exploration/exploitation trade-off.</w:t>
      </w:r>
      <w:r>
        <w:t xml:space="preserve"> </w:t>
      </w:r>
      <w:r>
        <w:rPr>
          <w:iCs/>
          <w:i/>
        </w:rPr>
        <w:t xml:space="preserve">Journal of Experimental Psychology: Learning, Memory, and Cognition</w:t>
      </w:r>
      <w:r>
        <w:t xml:space="preserve">,</w:t>
      </w:r>
      <w:r>
        <w:t xml:space="preserve"> </w:t>
      </w:r>
      <w:r>
        <w:rPr>
          <w:iCs/>
          <w:i/>
        </w:rPr>
        <w:t xml:space="preserve">48</w:t>
      </w:r>
      <w:r>
        <w:t xml:space="preserve">, 547–568.</w:t>
      </w:r>
      <w:r>
        <w:t xml:space="preserve"> </w:t>
      </w:r>
      <w:hyperlink r:id="rId169">
        <w:r>
          <w:rPr>
            <w:rStyle w:val="Hyperlink"/>
          </w:rPr>
          <w:t xml:space="preserve">https://doi.org/10.1037/xlm0000883</w:t>
        </w:r>
      </w:hyperlink>
    </w:p>
    <w:bookmarkEnd w:id="170"/>
    <w:bookmarkEnd w:id="171"/>
    <w:bookmarkEnd w:id="172"/>
    <w:bookmarkStart w:id="181" w:name="appendix-i"/>
    <w:p>
      <w:pPr>
        <w:pStyle w:val="Heading1"/>
      </w:pPr>
      <w:r>
        <w:t xml:space="preserve">Appendix I</w:t>
      </w:r>
    </w:p>
    <w:p>
      <w:pPr>
        <w:pStyle w:val="FirstParagraph"/>
      </w:pPr>
      <w:r>
        <w:t xml:space="preserve">The four sets of images from which the cues and foils displayed in the experiment were randomly selected can be seen in</w:t>
      </w:r>
      <w:r>
        <w:t xml:space="preserve"> </w:t>
      </w:r>
      <w:hyperlink w:anchor="fig-cues_and_foils">
        <w:r>
          <w:rPr>
            <w:rStyle w:val="Hyperlink"/>
          </w:rPr>
          <w:t xml:space="preserve">Figure 11</w:t>
        </w:r>
      </w:hyperlink>
      <w:r>
        <w:t xml:space="preserve">.</w:t>
      </w:r>
    </w:p>
    <w:bookmarkStart w:id="176" w:name="fig-cues_and_foils"/>
    <w:p>
      <w:pPr>
        <w:pStyle w:val="FigureTitle"/>
      </w:pPr>
      <w:r>
        <w:t xml:space="preserve">Figure 11</w:t>
      </w:r>
    </w:p>
    <w:p>
      <w:pPr>
        <w:pStyle w:val="Caption"/>
      </w:pPr>
      <w:r>
        <w:t xml:space="preserve">Cues and foils used in Experiment 1.</w:t>
      </w:r>
    </w:p>
    <w:p>
      <w:pPr>
        <w:pStyle w:val="FigureWithoutNote"/>
      </w:pPr>
      <w:r>
        <w:drawing>
          <wp:inline>
            <wp:extent cx="5943600" cy="3241963"/>
            <wp:effectExtent b="0" l="0" r="0" t="0"/>
            <wp:docPr descr="" title="" id="174" name="Picture"/>
            <a:graphic>
              <a:graphicData uri="http://schemas.openxmlformats.org/drawingml/2006/picture">
                <pic:pic>
                  <pic:nvPicPr>
                    <pic:cNvPr descr="images/cues_foils.png" id="175" name="Picture"/>
                    <pic:cNvPicPr>
                      <a:picLocks noChangeArrowheads="1" noChangeAspect="1"/>
                    </pic:cNvPicPr>
                  </pic:nvPicPr>
                  <pic:blipFill>
                    <a:blip r:embed="rId173"/>
                    <a:stretch>
                      <a:fillRect/>
                    </a:stretch>
                  </pic:blipFill>
                  <pic:spPr bwMode="auto">
                    <a:xfrm>
                      <a:off x="0" y="0"/>
                      <a:ext cx="5943600" cy="3241963"/>
                    </a:xfrm>
                    <a:prstGeom prst="rect">
                      <a:avLst/>
                    </a:prstGeom>
                    <a:noFill/>
                    <a:ln w="9525">
                      <a:noFill/>
                      <a:headEnd/>
                      <a:tailEnd/>
                    </a:ln>
                  </pic:spPr>
                </pic:pic>
              </a:graphicData>
            </a:graphic>
          </wp:inline>
        </w:drawing>
      </w:r>
    </w:p>
    <w:bookmarkEnd w:id="176"/>
    <w:p>
      <w:pPr>
        <w:pStyle w:val="AfterWithoutNote"/>
      </w:pPr>
      <w:r>
        <w:t xml:space="preserve">The two images used as outcomes in these experiments can be seen in</w:t>
      </w:r>
      <w:r>
        <w:t xml:space="preserve"> </w:t>
      </w:r>
      <w:hyperlink w:anchor="fig-outcomes">
        <w:r>
          <w:rPr>
            <w:rStyle w:val="Hyperlink"/>
          </w:rPr>
          <w:t xml:space="preserve">Figure 12</w:t>
        </w:r>
      </w:hyperlink>
      <w:r>
        <w:t xml:space="preserve">.</w:t>
      </w:r>
    </w:p>
    <w:bookmarkStart w:id="180" w:name="fig-outcomes"/>
    <w:p>
      <w:pPr>
        <w:pStyle w:val="FigureTitle"/>
      </w:pPr>
      <w:r>
        <w:t xml:space="preserve">Figure 12</w:t>
      </w:r>
    </w:p>
    <w:p>
      <w:pPr>
        <w:pStyle w:val="Caption"/>
      </w:pPr>
      <w:r>
        <w:t xml:space="preserve">Outcomes used in all experiments.</w:t>
      </w:r>
    </w:p>
    <w:p>
      <w:pPr>
        <w:pStyle w:val="FigureWithoutNote"/>
      </w:pPr>
      <w:r>
        <w:drawing>
          <wp:inline>
            <wp:extent cx="5943600" cy="3697688"/>
            <wp:effectExtent b="0" l="0" r="0" t="0"/>
            <wp:docPr descr="" title="" id="178" name="Picture"/>
            <a:graphic>
              <a:graphicData uri="http://schemas.openxmlformats.org/drawingml/2006/picture">
                <pic:pic>
                  <pic:nvPicPr>
                    <pic:cNvPr descr="images/outcomes.png" id="179" name="Picture"/>
                    <pic:cNvPicPr>
                      <a:picLocks noChangeArrowheads="1" noChangeAspect="1"/>
                    </pic:cNvPicPr>
                  </pic:nvPicPr>
                  <pic:blipFill>
                    <a:blip r:embed="rId177"/>
                    <a:stretch>
                      <a:fillRect/>
                    </a:stretch>
                  </pic:blipFill>
                  <pic:spPr bwMode="auto">
                    <a:xfrm>
                      <a:off x="0" y="0"/>
                      <a:ext cx="5943600" cy="3697688"/>
                    </a:xfrm>
                    <a:prstGeom prst="rect">
                      <a:avLst/>
                    </a:prstGeom>
                    <a:noFill/>
                    <a:ln w="9525">
                      <a:noFill/>
                      <a:headEnd/>
                      <a:tailEnd/>
                    </a:ln>
                  </pic:spPr>
                </pic:pic>
              </a:graphicData>
            </a:graphic>
          </wp:inline>
        </w:drawing>
      </w:r>
    </w:p>
    <w:bookmarkEnd w:id="180"/>
    <w:bookmarkEnd w:id="181"/>
    <w:sectPr w:rsidR="007868AB" w:rsidRPr="00EA785F">
      <w:headerReference r:id="rId9" w:type="even"/>
      <w:headerReference r:id="rId11" w:type="default"/>
      <w:footerReference r:id="rId14" w:type="even"/>
      <w:footerReference r:id="rId13" w:type="default"/>
      <w:headerReference r:id="rId10" w:type="first"/>
      <w:footerReference r:id="rId12" w:type="firs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8A7EE" w14:textId="77777777" w:rsidR="00BB5C76" w:rsidRDefault="00BB5C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2C7AE" w14:textId="77777777" w:rsidR="00BB5C76" w:rsidRDefault="00BB5C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098C" w14:textId="77777777" w:rsidR="00BB5C76" w:rsidRDefault="00BB5C76">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6">
    <w:p>
      <w:pPr>
        <w:pStyle w:val="FootnoteText"/>
      </w:pPr>
      <w:r>
        <w:rPr>
          <w:rStyle w:val="FootnoteReference"/>
        </w:rPr>
        <w:footnoteRef/>
      </w:r>
      <w:r>
        <w:t xml:space="preserve"> </w:t>
      </w:r>
      <w:r>
        <w:t xml:space="preserve">It should be noted that this result has proved difficult to replicate (see Le Pelley et al., 2016).</w:t>
      </w:r>
    </w:p>
  </w:footnote>
  <w:footnote w:id="73">
    <w:p>
      <w:pPr>
        <w:pStyle w:val="FootnoteText"/>
      </w:pPr>
      <w:r>
        <w:rPr>
          <w:rStyle w:val="FootnoteReference"/>
        </w:rPr>
        <w:footnoteRef/>
      </w:r>
      <w:r>
        <w:t xml:space="preserve"> </w:t>
      </w:r>
      <w:r>
        <w:t xml:space="preserve">The critical interaction effect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BB696" w14:textId="77777777" w:rsidR="00BB5C76" w:rsidRDefault="00BB5C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A480" w14:textId="7EF1670F" w:rsidR="00340B9E" w:rsidRPr="000D23CF" w:rsidRDefault="00000000" w:rsidP="000D23CF">
    <w:pPr>
      <w:tabs>
        <w:tab w:val="right" w:pos="9360"/>
      </w:tabs>
    </w:pPr>
    <w:sdt>
      <w:sdtPr>
        <w:alias w:val="Comments"/>
        <w:tag w:val=""/>
        <w:id w:val="411821190"/>
        <w:placeholder>
          <w:docPart w:val="0C02FC99099648D19246354A6487E13A"/>
        </w:placeholder>
        <w:showingPlcHdr/>
        <w:dataBinding w:prefixMappings="xmlns:ns0='http://purl.org/dc/elements/1.1/' xmlns:ns1='http://schemas.openxmlformats.org/package/2006/metadata/core-properties' " w:xpath="/ns1:coreProperties[1]/ns0:description[1]" w:storeItemID="{6C3C8BC8-F283-45AE-878A-BAB7291924A1}"/>
        <w:text w:multiLine="1"/>
      </w:sdtPr>
      <w:sdtContent>
        <w:r w:rsidR="00BB5C76" w:rsidRPr="00361F1C">
          <w:rPr>
            <w:rStyle w:val="PlaceholderText"/>
          </w:rPr>
          <w:t>[Comments]</w:t>
        </w:r>
      </w:sdtContent>
    </w:sdt>
    <w:r w:rsidR="000D23CF">
      <w:tab/>
    </w:r>
    <w:r w:rsidR="000D23CF">
      <w:fldChar w:fldCharType="begin"/>
    </w:r>
    <w:r w:rsidR="000D23CF">
      <w:instrText xml:space="preserve"> PAGE   \* MERGEFORMAT </w:instrText>
    </w:r>
    <w:r w:rsidR="000D23CF">
      <w:fldChar w:fldCharType="separate"/>
    </w:r>
    <w:r w:rsidR="000D23CF">
      <w:rPr>
        <w:noProof/>
      </w:rPr>
      <w:t>1</w:t>
    </w:r>
    <w:r w:rsidR="000D23CF">
      <w:rPr>
        <w:noProof/>
      </w:rPr>
      <w:fldChar w:fldCharType="end"/>
    </w:r>
  </w:p>
  <w:p w14:paraId="0B6AFBF4" w14:textId="77777777" w:rsidR="00340B9E" w:rsidRDefault="00340B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26B0" w14:textId="77777777" w:rsidR="00BB5C76" w:rsidRDefault="00BB5C76">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631A5F2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A8C72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A3E2FD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C147E6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39682B4"/>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E2128A1A"/>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D18C86DE"/>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165E97EA"/>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35509728"/>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38C8C9D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5D1079BE"/>
    <w:multiLevelType w:val="hybridMultilevel"/>
    <w:tmpl w:val="589A61B8"/>
    <w:lvl w:ilvl="0" w:tplc="2A80B848">
      <w:start w:val="1"/>
      <w:numFmt w:val="decimal"/>
      <w:pStyle w:val="APAEnumerated"/>
      <w:lvlText w:val="%1."/>
      <w:lvlJc w:val="left"/>
      <w:pPr>
        <w:ind w:hanging="360" w:left="360"/>
      </w:pPr>
      <w:rPr>
        <w:rFonts w:hint="default"/>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423961382" w:numId="1">
    <w:abstractNumId w:val="10"/>
  </w:num>
  <w:num w16cid:durableId="1687557963" w:numId="2">
    <w:abstractNumId w:val="9"/>
  </w:num>
  <w:num w16cid:durableId="1037200209" w:numId="3">
    <w:abstractNumId w:val="7"/>
  </w:num>
  <w:num w16cid:durableId="1834566650" w:numId="4">
    <w:abstractNumId w:val="6"/>
  </w:num>
  <w:num w16cid:durableId="1713074931" w:numId="5">
    <w:abstractNumId w:val="5"/>
  </w:num>
  <w:num w16cid:durableId="90976974" w:numId="6">
    <w:abstractNumId w:val="4"/>
  </w:num>
  <w:num w16cid:durableId="1378773811" w:numId="7">
    <w:abstractNumId w:val="8"/>
  </w:num>
  <w:num w16cid:durableId="2106684559" w:numId="8">
    <w:abstractNumId w:val="3"/>
  </w:num>
  <w:num w16cid:durableId="1702896435" w:numId="9">
    <w:abstractNumId w:val="2"/>
  </w:num>
  <w:num w16cid:durableId="1542131015" w:numId="10">
    <w:abstractNumId w:val="1"/>
  </w:num>
  <w:num w16cid:durableId="1202327122" w:numId="11">
    <w:abstractNumId w:val="0"/>
  </w:num>
  <w:num w16cid:durableId="1855149352" w:numId="12">
    <w:abstractNumId w:val="9"/>
  </w:num>
  <w:num w16cid:durableId="1364743380" w:numId="13">
    <w:abstractNumId w:val="7"/>
  </w:num>
  <w:num w16cid:durableId="20473214" w:numId="14">
    <w:abstractNumId w:val="6"/>
  </w:num>
  <w:num w16cid:durableId="1905485383" w:numId="15">
    <w:abstractNumId w:val="5"/>
  </w:num>
  <w:num w16cid:durableId="1657997273" w:numId="16">
    <w:abstractNumId w:val="4"/>
  </w:num>
  <w:num w16cid:durableId="1775712193" w:numId="17">
    <w:abstractNumId w:val="8"/>
  </w:num>
  <w:num w16cid:durableId="772827886" w:numId="18">
    <w:abstractNumId w:val="3"/>
  </w:num>
  <w:num w16cid:durableId="1912688915" w:numId="19">
    <w:abstractNumId w:val="2"/>
  </w:num>
  <w:num w16cid:durableId="1611625261" w:numId="20">
    <w:abstractNumId w:val="1"/>
  </w:num>
  <w:num w16cid:durableId="2107966237" w:numId="21">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Right/>
    <m:intLim m:val="subSup"/>
    <m:naryLim m:val="undOvr"/>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83560B"/>
    <w:pPr>
      <w:spacing w:after="0" w:line="480" w:lineRule="auto"/>
    </w:pPr>
  </w:style>
  <w:style w:styleId="Heading1" w:type="paragraph">
    <w:name w:val="heading 1"/>
    <w:basedOn w:val="Normal"/>
    <w:next w:val="BodyText"/>
    <w:uiPriority w:val="9"/>
    <w:qFormat/>
    <w:rsid w:val="00901FB7"/>
    <w:pPr>
      <w:keepNext/>
      <w:keepLines/>
      <w:jc w:val="center"/>
      <w:outlineLvl w:val="0"/>
    </w:pPr>
    <w:rPr>
      <w:rFonts w:asciiTheme="majorHAnsi" w:cstheme="majorBidi" w:eastAsiaTheme="majorEastAsia" w:hAnsiTheme="majorHAnsi"/>
      <w:b/>
      <w:bCs/>
      <w:szCs w:val="32"/>
    </w:rPr>
  </w:style>
  <w:style w:styleId="Heading2" w:type="paragraph">
    <w:name w:val="heading 2"/>
    <w:basedOn w:val="Normal"/>
    <w:next w:val="BodyText"/>
    <w:uiPriority w:val="9"/>
    <w:unhideWhenUsed/>
    <w:qFormat/>
    <w:rsid w:val="00901FB7"/>
    <w:pPr>
      <w:keepNext/>
      <w:keepLines/>
      <w:outlineLvl w:val="1"/>
    </w:pPr>
    <w:rPr>
      <w:rFonts w:asciiTheme="majorHAnsi" w:cstheme="majorBidi" w:eastAsiaTheme="majorEastAsia" w:hAnsiTheme="majorHAnsi"/>
      <w:b/>
      <w:bCs/>
      <w:szCs w:val="28"/>
    </w:rPr>
  </w:style>
  <w:style w:styleId="Heading3" w:type="paragraph">
    <w:name w:val="heading 3"/>
    <w:basedOn w:val="Normal"/>
    <w:next w:val="BodyText"/>
    <w:uiPriority w:val="9"/>
    <w:unhideWhenUsed/>
    <w:qFormat/>
    <w:rsid w:val="00901FB7"/>
    <w:pPr>
      <w:keepNext/>
      <w:keepLines/>
      <w:outlineLvl w:val="2"/>
    </w:pPr>
    <w:rPr>
      <w:rFonts w:asciiTheme="majorHAnsi" w:cstheme="majorBidi" w:eastAsiaTheme="majorEastAsia" w:hAnsiTheme="majorHAnsi"/>
      <w:b/>
      <w:bCs/>
      <w:i/>
    </w:rPr>
  </w:style>
  <w:style w:styleId="Heading4" w:type="paragraph">
    <w:name w:val="heading 4"/>
    <w:basedOn w:val="Normal"/>
    <w:next w:val="BodyText"/>
    <w:uiPriority w:val="9"/>
    <w:unhideWhenUsed/>
    <w:qFormat/>
    <w:rsid w:val="008174AC"/>
    <w:pPr>
      <w:keepNext/>
      <w:keepLines/>
      <w:ind w:firstLine="720"/>
      <w:outlineLvl w:val="3"/>
    </w:pPr>
    <w:rPr>
      <w:rFonts w:asciiTheme="majorHAnsi" w:cstheme="majorBidi" w:eastAsiaTheme="majorEastAsia" w:hAnsiTheme="majorHAnsi"/>
      <w:b/>
      <w:bCs/>
    </w:rPr>
  </w:style>
  <w:style w:styleId="Heading5" w:type="paragraph">
    <w:name w:val="heading 5"/>
    <w:basedOn w:val="Normal"/>
    <w:next w:val="BodyText"/>
    <w:uiPriority w:val="9"/>
    <w:unhideWhenUsed/>
    <w:qFormat/>
    <w:rsid w:val="00BD022F"/>
    <w:pPr>
      <w:keepNext/>
      <w:keepLines/>
      <w:ind w:firstLine="720"/>
      <w:outlineLvl w:val="4"/>
    </w:pPr>
    <w:rPr>
      <w:rFonts w:asciiTheme="majorHAnsi" w:cstheme="majorBidi" w:eastAsiaTheme="majorEastAsia" w:hAnsiTheme="majorHAnsi"/>
      <w:b/>
      <w:i/>
      <w:iCs/>
    </w:rPr>
  </w:style>
  <w:style w:styleId="Heading6" w:type="paragraph">
    <w:name w:val="heading 6"/>
    <w:basedOn w:val="Normal"/>
    <w:next w:val="BodyText"/>
    <w:uiPriority w:val="9"/>
    <w:unhideWhenUsed/>
    <w:qFormat/>
    <w:pPr>
      <w:keepNext/>
      <w:keepLines/>
      <w:spacing w:before="200"/>
      <w:outlineLvl w:val="5"/>
    </w:pPr>
    <w:rPr>
      <w:rFonts w:asciiTheme="majorHAnsi" w:cstheme="majorBidi" w:eastAsiaTheme="majorEastAsia" w:hAnsiTheme="majorHAnsi"/>
      <w:color w:themeColor="accent1" w:val="4472C4"/>
    </w:rPr>
  </w:style>
  <w:style w:styleId="Heading7" w:type="paragraph">
    <w:name w:val="heading 7"/>
    <w:basedOn w:val="Normal"/>
    <w:next w:val="BodyText"/>
    <w:uiPriority w:val="9"/>
    <w:unhideWhenUsed/>
    <w:qFormat/>
    <w:pPr>
      <w:keepNext/>
      <w:keepLines/>
      <w:spacing w:before="200"/>
      <w:outlineLvl w:val="6"/>
    </w:pPr>
    <w:rPr>
      <w:rFonts w:asciiTheme="majorHAnsi" w:cstheme="majorBidi" w:eastAsiaTheme="majorEastAsia" w:hAnsiTheme="majorHAnsi"/>
      <w:color w:themeColor="accent1" w:val="4472C4"/>
    </w:rPr>
  </w:style>
  <w:style w:styleId="Heading8" w:type="paragraph">
    <w:name w:val="heading 8"/>
    <w:basedOn w:val="Normal"/>
    <w:next w:val="BodyText"/>
    <w:uiPriority w:val="9"/>
    <w:unhideWhenUsed/>
    <w:qFormat/>
    <w:pPr>
      <w:keepNext/>
      <w:keepLines/>
      <w:spacing w:before="200"/>
      <w:outlineLvl w:val="7"/>
    </w:pPr>
    <w:rPr>
      <w:rFonts w:asciiTheme="majorHAnsi" w:cstheme="majorBidi" w:eastAsiaTheme="majorEastAsia" w:hAnsiTheme="majorHAnsi"/>
      <w:color w:themeColor="accent1" w:val="4472C4"/>
    </w:rPr>
  </w:style>
  <w:style w:styleId="Heading9" w:type="paragraph">
    <w:name w:val="heading 9"/>
    <w:basedOn w:val="Normal"/>
    <w:next w:val="BodyText"/>
    <w:uiPriority w:val="9"/>
    <w:unhideWhenUsed/>
    <w:qFormat/>
    <w:pPr>
      <w:keepNext/>
      <w:keepLines/>
      <w:spacing w:before="200"/>
      <w:outlineLvl w:val="8"/>
    </w:pPr>
    <w:rPr>
      <w:rFonts w:asciiTheme="majorHAnsi" w:cstheme="majorBidi" w:eastAsiaTheme="majorEastAsia" w:hAnsiTheme="majorHAnsi"/>
      <w:color w:themeColor="accent1" w:val="4472C4"/>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83560B"/>
    <w:pPr>
      <w:ind w:firstLine="720"/>
    </w:pPr>
  </w:style>
  <w:style w:customStyle="1" w:styleId="FirstParagraph" w:type="paragraph">
    <w:name w:val="First Paragraph"/>
    <w:basedOn w:val="BodyText"/>
    <w:next w:val="BodyText"/>
    <w:qFormat/>
    <w:rsid w:val="008174AC"/>
  </w:style>
  <w:style w:customStyle="1" w:styleId="Compact" w:type="paragraph">
    <w:name w:val="Compact"/>
    <w:basedOn w:val="BodyText"/>
    <w:qFormat/>
    <w:rsid w:val="00387689"/>
    <w:pPr>
      <w:spacing w:line="240" w:lineRule="auto"/>
      <w:ind w:firstLine="0"/>
    </w:pPr>
  </w:style>
  <w:style w:styleId="Title" w:type="paragraph">
    <w:name w:val="Title"/>
    <w:basedOn w:val="Normal"/>
    <w:next w:val="BodyText"/>
    <w:link w:val="TitleChar"/>
    <w:qFormat/>
    <w:rsid w:val="00E401FC"/>
    <w:pPr>
      <w:jc w:val="center"/>
      <w:outlineLvl w:val="0"/>
    </w:pPr>
    <w:rPr>
      <w:b/>
      <w:bCs/>
    </w:rPr>
  </w:style>
  <w:style w:styleId="Subtitle" w:type="paragraph">
    <w:name w:val="Subtitle"/>
    <w:basedOn w:val="Title"/>
    <w:next w:val="BodyText"/>
    <w:qFormat/>
    <w:rsid w:val="00E401FC"/>
    <w:pPr>
      <w:outlineLvl w:val="1"/>
    </w:pPr>
    <w:rPr>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rsid w:val="002A768D"/>
    <w:pPr>
      <w:keepNext/>
      <w:keepLines/>
    </w:pPr>
    <w:rPr>
      <w:szCs w:val="20"/>
    </w:rPr>
  </w:style>
  <w:style w:styleId="Bibliography" w:type="paragraph">
    <w:name w:val="Bibliography"/>
    <w:basedOn w:val="Normal"/>
    <w:qFormat/>
    <w:rsid w:val="00CB7758"/>
    <w:pPr>
      <w:ind w:hanging="720" w:left="720"/>
    </w:pPr>
  </w:style>
  <w:style w:styleId="BlockText" w:type="paragraph">
    <w:name w:val="Block Text"/>
    <w:basedOn w:val="BodyText"/>
    <w:next w:val="BodyText"/>
    <w:link w:val="BlockTextChar"/>
    <w:uiPriority w:val="9"/>
    <w:unhideWhenUsed/>
    <w:qFormat/>
    <w:rsid w:val="0017682D"/>
    <w:pPr>
      <w:ind w:firstLine="0" w:left="720" w:right="720"/>
    </w:pPr>
  </w:style>
  <w:style w:styleId="FootnoteText" w:type="paragraph">
    <w:name w:val="footnote text"/>
    <w:basedOn w:val="Normal"/>
    <w:uiPriority w:val="9"/>
    <w:unhideWhenUsed/>
    <w:qFormat/>
  </w:style>
  <w:style w:customStyle="1" w:styleId="Table" w:type="table">
    <w:name w:val="Table"/>
    <w:semiHidden/>
    <w:unhideWhenUsed/>
    <w:qFormat/>
    <w:rsid w:val="00387689"/>
    <w:pPr>
      <w:spacing w:after="60" w:before="60"/>
    </w:pPr>
    <w:tblPr>
      <w:tblInd w:type="dxa" w:w="0"/>
      <w:tblBorders>
        <w:bottom w:color="auto" w:space="0" w:sz="4" w:val="single"/>
      </w:tblBorders>
      <w:tblCellMar>
        <w:top w:type="dxa" w:w="58"/>
        <w:left w:type="dxa" w:w="58"/>
        <w:bottom w:type="dxa" w:w="58"/>
        <w:right w:type="dxa" w:w="58"/>
      </w:tblCellMar>
    </w:tblPr>
    <w:tcPr>
      <w:vAlign w:val="center"/>
    </w:tcPr>
    <w:tblStylePr w:type="firstRow">
      <w:tblPr/>
      <w:tcPr>
        <w:tcBorders>
          <w:top w:color="auto" w:space="0" w:sz="4" w:val="single"/>
          <w:left w:val="nil"/>
          <w:bottom w:color="auto" w:space="0" w:sz="4" w:val="single"/>
          <w:right w:val="nil"/>
          <w:insideH w:val="nil"/>
          <w:insideV w:val="nil"/>
          <w:tl2br w:val="nil"/>
          <w:tr2bl w:val="nil"/>
        </w:tcBorders>
      </w:tcPr>
    </w:tblStylePr>
  </w:style>
  <w:style w:customStyle="1" w:styleId="DefinitionTerm" w:type="paragraph">
    <w:name w:val="Definition Term"/>
    <w:basedOn w:val="Normal"/>
    <w:next w:val="Definition"/>
    <w:pPr>
      <w:keepNext/>
      <w:keepLines/>
    </w:pPr>
    <w:rPr>
      <w:b/>
    </w:rPr>
  </w:style>
  <w:style w:customStyle="1" w:styleId="Definition" w:type="paragraph">
    <w:name w:val="Definition"/>
    <w:basedOn w:val="Normal"/>
  </w:style>
  <w:style w:styleId="Caption" w:type="paragraph">
    <w:name w:val="caption"/>
    <w:basedOn w:val="Normal"/>
    <w:link w:val="CaptionChar"/>
    <w:rsid w:val="003B7C65"/>
    <w:pPr>
      <w:keepNext/>
      <w:keepLines/>
      <w:spacing w:after="120"/>
    </w:pPr>
    <w:rPr>
      <w:i/>
    </w:rPr>
  </w:style>
  <w:style w:customStyle="1" w:styleId="TableCaption" w:type="paragraph">
    <w:name w:val="Table Caption"/>
    <w:basedOn w:val="Caption"/>
  </w:style>
  <w:style w:customStyle="1" w:styleId="ImageCaption" w:type="paragraph">
    <w:name w:val="Image Caption"/>
    <w:basedOn w:val="Caption"/>
  </w:style>
  <w:style w:customStyle="1" w:styleId="Figure" w:type="paragraph">
    <w:name w:val="Figure"/>
    <w:basedOn w:val="Normal"/>
    <w:link w:val="FigureChar"/>
    <w:rsid w:val="00D630B7"/>
    <w:pPr>
      <w:spacing w:line="240" w:lineRule="auto"/>
    </w:pPr>
  </w:style>
  <w:style w:customStyle="1" w:styleId="CaptionedFigure" w:type="paragraph">
    <w:name w:val="Captioned Figure"/>
    <w:basedOn w:val="Figure"/>
    <w:rsid w:val="00AE5BBA"/>
  </w:style>
  <w:style w:customStyle="1" w:styleId="CaptionChar" w:type="character">
    <w:name w:val="Caption Char"/>
    <w:basedOn w:val="DefaultParagraphFont"/>
    <w:link w:val="Caption"/>
    <w:rsid w:val="003B7C65"/>
    <w:rPr>
      <w:i/>
    </w:rPr>
  </w:style>
  <w:style w:customStyle="1" w:styleId="VerbatimChar" w:type="character">
    <w:name w:val="Verbatim Char"/>
    <w:basedOn w:val="CaptionChar"/>
    <w:link w:val="SourceCode"/>
    <w:rPr>
      <w:rFonts w:ascii="Consolas" w:hAnsi="Consolas"/>
      <w:i/>
      <w:sz w:val="22"/>
    </w:rPr>
  </w:style>
  <w:style w:customStyle="1" w:styleId="SectionNumber" w:type="character">
    <w:name w:val="Section Number"/>
    <w:basedOn w:val="CaptionChar"/>
    <w:rPr>
      <w:i/>
    </w:rPr>
  </w:style>
  <w:style w:styleId="FootnoteReference" w:type="character">
    <w:name w:val="footnote reference"/>
    <w:basedOn w:val="CaptionChar"/>
    <w:rPr>
      <w:i/>
      <w:vertAlign w:val="superscript"/>
    </w:rPr>
  </w:style>
  <w:style w:styleId="Hyperlink" w:type="character">
    <w:name w:val="Hyperlink"/>
    <w:basedOn w:val="CaptionChar"/>
    <w:rsid w:val="00250BD5"/>
    <w:rPr>
      <w:i w:val="0"/>
      <w:color w:themeColor="accent1" w:val="4472C4"/>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2F5496"/>
    </w:rPr>
  </w:style>
  <w:style w:customStyle="1" w:styleId="BodyTextChar" w:type="character">
    <w:name w:val="Body Text Char"/>
    <w:basedOn w:val="DefaultParagraphFont"/>
    <w:link w:val="BodyText"/>
    <w:rsid w:val="0083560B"/>
  </w:style>
  <w:style w:customStyle="1" w:styleId="red" w:type="paragraph">
    <w:name w:val="red"/>
    <w:basedOn w:val="BodyText"/>
    <w:link w:val="redChar"/>
    <w:qFormat/>
    <w:rsid w:val="00385D19"/>
    <w:rPr>
      <w:color w:val="FF0000"/>
    </w:rPr>
  </w:style>
  <w:style w:customStyle="1" w:styleId="redChar" w:type="character">
    <w:name w:val="red Char"/>
    <w:basedOn w:val="BodyTextChar"/>
    <w:link w:val="red"/>
    <w:rsid w:val="00385D19"/>
    <w:rPr>
      <w:color w:val="FF0000"/>
    </w:rPr>
  </w:style>
  <w:style w:customStyle="1" w:styleId="SourceCode" w:type="paragraph">
    <w:name w:val="Source Code"/>
    <w:basedOn w:val="Normal"/>
    <w:link w:val="VerbatimChar"/>
    <w:pPr>
      <w:shd w:color="auto" w:fill="F1F3F5" w:val="clear"/>
      <w:wordWrap w:val="0"/>
    </w:pPr>
  </w:style>
  <w:style w:customStyle="1" w:styleId="KeywordTok" w:type="character">
    <w:name w:val="KeywordTok"/>
    <w:basedOn w:val="VerbatimChar"/>
    <w:rPr>
      <w:rFonts w:ascii="Consolas" w:hAnsi="Consolas"/>
      <w:i/>
      <w:color w:val="003B4F"/>
      <w:sz w:val="22"/>
      <w:shd w:color="auto" w:fill="F1F3F5" w:val="clear"/>
    </w:rPr>
  </w:style>
  <w:style w:customStyle="1" w:styleId="DataTypeTok" w:type="character">
    <w:name w:val="DataTypeTok"/>
    <w:basedOn w:val="VerbatimChar"/>
    <w:rPr>
      <w:rFonts w:ascii="Consolas" w:hAnsi="Consolas"/>
      <w:i/>
      <w:color w:val="AD0000"/>
      <w:sz w:val="22"/>
      <w:shd w:color="auto" w:fill="F1F3F5" w:val="clear"/>
    </w:rPr>
  </w:style>
  <w:style w:customStyle="1" w:styleId="DecValTok" w:type="character">
    <w:name w:val="DecValTok"/>
    <w:basedOn w:val="VerbatimChar"/>
    <w:rPr>
      <w:rFonts w:ascii="Consolas" w:hAnsi="Consolas"/>
      <w:i/>
      <w:color w:val="AD0000"/>
      <w:sz w:val="22"/>
      <w:shd w:color="auto" w:fill="F1F3F5" w:val="clear"/>
    </w:rPr>
  </w:style>
  <w:style w:customStyle="1" w:styleId="BaseNTok" w:type="character">
    <w:name w:val="BaseNTok"/>
    <w:basedOn w:val="VerbatimChar"/>
    <w:rPr>
      <w:rFonts w:ascii="Consolas" w:hAnsi="Consolas"/>
      <w:i/>
      <w:color w:val="AD0000"/>
      <w:sz w:val="22"/>
      <w:shd w:color="auto" w:fill="F1F3F5" w:val="clear"/>
    </w:rPr>
  </w:style>
  <w:style w:customStyle="1" w:styleId="FloatTok" w:type="character">
    <w:name w:val="FloatTok"/>
    <w:basedOn w:val="VerbatimChar"/>
    <w:rPr>
      <w:rFonts w:ascii="Consolas" w:hAnsi="Consolas"/>
      <w:i/>
      <w:color w:val="AD0000"/>
      <w:sz w:val="22"/>
      <w:shd w:color="auto" w:fill="F1F3F5" w:val="clear"/>
    </w:rPr>
  </w:style>
  <w:style w:customStyle="1" w:styleId="ConstantTok" w:type="character">
    <w:name w:val="ConstantTok"/>
    <w:basedOn w:val="VerbatimChar"/>
    <w:rPr>
      <w:rFonts w:ascii="Consolas" w:hAnsi="Consolas"/>
      <w:i/>
      <w:color w:val="8F5902"/>
      <w:sz w:val="22"/>
      <w:shd w:color="auto" w:fill="F1F3F5" w:val="clear"/>
    </w:rPr>
  </w:style>
  <w:style w:customStyle="1" w:styleId="CharTok" w:type="character">
    <w:name w:val="CharTok"/>
    <w:basedOn w:val="VerbatimChar"/>
    <w:rPr>
      <w:rFonts w:ascii="Consolas" w:hAnsi="Consolas"/>
      <w:i/>
      <w:color w:val="20794D"/>
      <w:sz w:val="22"/>
      <w:shd w:color="auto" w:fill="F1F3F5" w:val="clear"/>
    </w:rPr>
  </w:style>
  <w:style w:customStyle="1" w:styleId="SpecialCharTok" w:type="character">
    <w:name w:val="SpecialCharTok"/>
    <w:basedOn w:val="VerbatimChar"/>
    <w:rPr>
      <w:rFonts w:ascii="Consolas" w:hAnsi="Consolas"/>
      <w:i/>
      <w:color w:val="5E5E5E"/>
      <w:sz w:val="22"/>
      <w:shd w:color="auto" w:fill="F1F3F5" w:val="clear"/>
    </w:rPr>
  </w:style>
  <w:style w:customStyle="1" w:styleId="StringTok" w:type="character">
    <w:name w:val="StringTok"/>
    <w:basedOn w:val="VerbatimChar"/>
    <w:rPr>
      <w:rFonts w:ascii="Consolas" w:hAnsi="Consolas"/>
      <w:i/>
      <w:color w:val="20794D"/>
      <w:sz w:val="22"/>
      <w:shd w:color="auto" w:fill="F1F3F5" w:val="clear"/>
    </w:rPr>
  </w:style>
  <w:style w:customStyle="1" w:styleId="VerbatimStringTok" w:type="character">
    <w:name w:val="VerbatimStringTok"/>
    <w:basedOn w:val="VerbatimChar"/>
    <w:rPr>
      <w:rFonts w:ascii="Consolas" w:hAnsi="Consolas"/>
      <w:i/>
      <w:color w:val="20794D"/>
      <w:sz w:val="22"/>
      <w:shd w:color="auto" w:fill="F1F3F5" w:val="clear"/>
    </w:rPr>
  </w:style>
  <w:style w:customStyle="1" w:styleId="SpecialStringTok" w:type="character">
    <w:name w:val="SpecialStringTok"/>
    <w:basedOn w:val="VerbatimChar"/>
    <w:rPr>
      <w:rFonts w:ascii="Consolas" w:hAnsi="Consolas"/>
      <w:i/>
      <w:color w:val="20794D"/>
      <w:sz w:val="22"/>
      <w:shd w:color="auto" w:fill="F1F3F5" w:val="clear"/>
    </w:rPr>
  </w:style>
  <w:style w:customStyle="1" w:styleId="ImportTok" w:type="character">
    <w:name w:val="ImportTok"/>
    <w:basedOn w:val="VerbatimChar"/>
    <w:rPr>
      <w:rFonts w:ascii="Consolas" w:hAnsi="Consolas"/>
      <w:i/>
      <w:color w:val="00769E"/>
      <w:sz w:val="22"/>
      <w:shd w:color="auto" w:fill="F1F3F5" w:val="clear"/>
    </w:rPr>
  </w:style>
  <w:style w:customStyle="1" w:styleId="CommentTok" w:type="character">
    <w:name w:val="CommentTok"/>
    <w:basedOn w:val="VerbatimChar"/>
    <w:rPr>
      <w:rFonts w:ascii="Consolas" w:hAnsi="Consolas"/>
      <w:i/>
      <w:color w:val="5E5E5E"/>
      <w:sz w:val="22"/>
      <w:shd w:color="auto" w:fill="F1F3F5" w:val="clear"/>
    </w:rPr>
  </w:style>
  <w:style w:customStyle="1" w:styleId="DocumentationTok" w:type="character">
    <w:name w:val="DocumentationTok"/>
    <w:basedOn w:val="VerbatimChar"/>
    <w:rPr>
      <w:rFonts w:ascii="Consolas" w:hAnsi="Consolas"/>
      <w:i w:val="0"/>
      <w:color w:val="5E5E5E"/>
      <w:sz w:val="22"/>
      <w:shd w:color="auto" w:fill="F1F3F5" w:val="clear"/>
    </w:rPr>
  </w:style>
  <w:style w:customStyle="1" w:styleId="AnnotationTok" w:type="character">
    <w:name w:val="AnnotationTok"/>
    <w:basedOn w:val="VerbatimChar"/>
    <w:rPr>
      <w:rFonts w:ascii="Consolas" w:hAnsi="Consolas"/>
      <w:i/>
      <w:color w:val="5E5E5E"/>
      <w:sz w:val="22"/>
      <w:shd w:color="auto" w:fill="F1F3F5" w:val="clear"/>
    </w:rPr>
  </w:style>
  <w:style w:customStyle="1" w:styleId="CommentVarTok" w:type="character">
    <w:name w:val="CommentVarTok"/>
    <w:basedOn w:val="VerbatimChar"/>
    <w:rPr>
      <w:rFonts w:ascii="Consolas" w:hAnsi="Consolas"/>
      <w:i w:val="0"/>
      <w:color w:val="5E5E5E"/>
      <w:sz w:val="22"/>
      <w:shd w:color="auto" w:fill="F1F3F5" w:val="clear"/>
    </w:rPr>
  </w:style>
  <w:style w:customStyle="1" w:styleId="OtherTok" w:type="character">
    <w:name w:val="OtherTok"/>
    <w:basedOn w:val="VerbatimChar"/>
    <w:rPr>
      <w:rFonts w:ascii="Consolas" w:hAnsi="Consolas"/>
      <w:i/>
      <w:color w:val="003B4F"/>
      <w:sz w:val="22"/>
      <w:shd w:color="auto" w:fill="F1F3F5" w:val="clear"/>
    </w:rPr>
  </w:style>
  <w:style w:customStyle="1" w:styleId="FunctionTok" w:type="character">
    <w:name w:val="FunctionTok"/>
    <w:basedOn w:val="VerbatimChar"/>
    <w:rPr>
      <w:rFonts w:ascii="Consolas" w:hAnsi="Consolas"/>
      <w:i/>
      <w:color w:val="4758AB"/>
      <w:sz w:val="22"/>
      <w:shd w:color="auto" w:fill="F1F3F5" w:val="clear"/>
    </w:rPr>
  </w:style>
  <w:style w:customStyle="1" w:styleId="VariableTok" w:type="character">
    <w:name w:val="VariableTok"/>
    <w:basedOn w:val="VerbatimChar"/>
    <w:rPr>
      <w:rFonts w:ascii="Consolas" w:hAnsi="Consolas"/>
      <w:i/>
      <w:color w:val="111111"/>
      <w:sz w:val="22"/>
      <w:shd w:color="auto" w:fill="F1F3F5" w:val="clear"/>
    </w:rPr>
  </w:style>
  <w:style w:customStyle="1" w:styleId="ControlFlowTok" w:type="character">
    <w:name w:val="ControlFlowTok"/>
    <w:basedOn w:val="VerbatimChar"/>
    <w:rPr>
      <w:rFonts w:ascii="Consolas" w:hAnsi="Consolas"/>
      <w:i/>
      <w:color w:val="003B4F"/>
      <w:sz w:val="22"/>
      <w:shd w:color="auto" w:fill="F1F3F5" w:val="clear"/>
    </w:rPr>
  </w:style>
  <w:style w:customStyle="1" w:styleId="OperatorTok" w:type="character">
    <w:name w:val="OperatorTok"/>
    <w:basedOn w:val="VerbatimChar"/>
    <w:rPr>
      <w:rFonts w:ascii="Consolas" w:hAnsi="Consolas"/>
      <w:i/>
      <w:color w:val="5E5E5E"/>
      <w:sz w:val="22"/>
      <w:shd w:color="auto" w:fill="F1F3F5" w:val="clear"/>
    </w:rPr>
  </w:style>
  <w:style w:customStyle="1" w:styleId="BuiltInTok" w:type="character">
    <w:name w:val="BuiltInTok"/>
    <w:basedOn w:val="VerbatimChar"/>
    <w:rPr>
      <w:rFonts w:ascii="Consolas" w:hAnsi="Consolas"/>
      <w:i/>
      <w:color w:val="003B4F"/>
      <w:sz w:val="22"/>
      <w:shd w:color="auto" w:fill="F1F3F5" w:val="clear"/>
    </w:rPr>
  </w:style>
  <w:style w:customStyle="1" w:styleId="ExtensionTok" w:type="character">
    <w:name w:val="ExtensionTok"/>
    <w:basedOn w:val="VerbatimChar"/>
    <w:rPr>
      <w:rFonts w:ascii="Consolas" w:hAnsi="Consolas"/>
      <w:i/>
      <w:color w:val="003B4F"/>
      <w:sz w:val="22"/>
      <w:shd w:color="auto" w:fill="F1F3F5" w:val="clear"/>
    </w:rPr>
  </w:style>
  <w:style w:customStyle="1" w:styleId="PreprocessorTok" w:type="character">
    <w:name w:val="PreprocessorTok"/>
    <w:basedOn w:val="VerbatimChar"/>
    <w:rPr>
      <w:rFonts w:ascii="Consolas" w:hAnsi="Consolas"/>
      <w:i/>
      <w:color w:val="AD0000"/>
      <w:sz w:val="22"/>
      <w:shd w:color="auto" w:fill="F1F3F5" w:val="clear"/>
    </w:rPr>
  </w:style>
  <w:style w:customStyle="1" w:styleId="AttributeTok" w:type="character">
    <w:name w:val="AttributeTok"/>
    <w:basedOn w:val="VerbatimChar"/>
    <w:rPr>
      <w:rFonts w:ascii="Consolas" w:hAnsi="Consolas"/>
      <w:i/>
      <w:color w:val="657422"/>
      <w:sz w:val="22"/>
      <w:shd w:color="auto" w:fill="F1F3F5" w:val="clear"/>
    </w:rPr>
  </w:style>
  <w:style w:customStyle="1" w:styleId="RegionMarkerTok" w:type="character">
    <w:name w:val="RegionMarkerTok"/>
    <w:basedOn w:val="VerbatimChar"/>
    <w:rPr>
      <w:rFonts w:ascii="Consolas" w:hAnsi="Consolas"/>
      <w:i/>
      <w:color w:val="003B4F"/>
      <w:sz w:val="22"/>
      <w:shd w:color="auto" w:fill="F1F3F5" w:val="clear"/>
    </w:rPr>
  </w:style>
  <w:style w:customStyle="1" w:styleId="InformationTok" w:type="character">
    <w:name w:val="InformationTok"/>
    <w:basedOn w:val="VerbatimChar"/>
    <w:rPr>
      <w:rFonts w:ascii="Consolas" w:hAnsi="Consolas"/>
      <w:i/>
      <w:color w:val="5E5E5E"/>
      <w:sz w:val="22"/>
      <w:shd w:color="auto" w:fill="F1F3F5" w:val="clear"/>
    </w:rPr>
  </w:style>
  <w:style w:customStyle="1" w:styleId="WarningTok" w:type="character">
    <w:name w:val="WarningTok"/>
    <w:basedOn w:val="VerbatimChar"/>
    <w:rPr>
      <w:rFonts w:ascii="Consolas" w:hAnsi="Consolas"/>
      <w:i w:val="0"/>
      <w:color w:val="5E5E5E"/>
      <w:sz w:val="22"/>
      <w:shd w:color="auto" w:fill="F1F3F5" w:val="clear"/>
    </w:rPr>
  </w:style>
  <w:style w:customStyle="1" w:styleId="AlertTok" w:type="character">
    <w:name w:val="AlertTok"/>
    <w:basedOn w:val="VerbatimChar"/>
    <w:rPr>
      <w:rFonts w:ascii="Consolas" w:hAnsi="Consolas"/>
      <w:i/>
      <w:color w:val="AD0000"/>
      <w:sz w:val="22"/>
      <w:shd w:color="auto" w:fill="F1F3F5" w:val="clear"/>
    </w:rPr>
  </w:style>
  <w:style w:customStyle="1" w:styleId="ErrorTok" w:type="character">
    <w:name w:val="ErrorTok"/>
    <w:basedOn w:val="VerbatimChar"/>
    <w:rPr>
      <w:rFonts w:ascii="Consolas" w:hAnsi="Consolas"/>
      <w:i/>
      <w:color w:val="AD0000"/>
      <w:sz w:val="22"/>
      <w:shd w:color="auto" w:fill="F1F3F5" w:val="clear"/>
    </w:rPr>
  </w:style>
  <w:style w:customStyle="1" w:styleId="NormalTok" w:type="character">
    <w:name w:val="NormalTok"/>
    <w:basedOn w:val="VerbatimChar"/>
    <w:rPr>
      <w:rFonts w:ascii="Consolas" w:hAnsi="Consolas"/>
      <w:i/>
      <w:color w:val="003B4F"/>
      <w:sz w:val="22"/>
      <w:shd w:color="auto" w:fill="F1F3F5" w:val="clear"/>
    </w:rPr>
  </w:style>
  <w:style w:styleId="Header" w:type="paragraph">
    <w:name w:val="header"/>
    <w:basedOn w:val="Normal"/>
    <w:link w:val="HeaderChar"/>
    <w:uiPriority w:val="99"/>
    <w:unhideWhenUsed/>
    <w:rsid w:val="00340B9E"/>
    <w:pPr>
      <w:tabs>
        <w:tab w:pos="4680" w:val="center"/>
        <w:tab w:pos="9360" w:val="right"/>
      </w:tabs>
    </w:pPr>
  </w:style>
  <w:style w:customStyle="1" w:styleId="HeaderChar" w:type="character">
    <w:name w:val="Header Char"/>
    <w:basedOn w:val="DefaultParagraphFont"/>
    <w:link w:val="Header"/>
    <w:uiPriority w:val="99"/>
    <w:rsid w:val="00340B9E"/>
  </w:style>
  <w:style w:styleId="Footer" w:type="paragraph">
    <w:name w:val="footer"/>
    <w:basedOn w:val="Normal"/>
    <w:link w:val="FooterChar"/>
    <w:unhideWhenUsed/>
    <w:rsid w:val="00340B9E"/>
    <w:pPr>
      <w:tabs>
        <w:tab w:pos="4680" w:val="center"/>
        <w:tab w:pos="9360" w:val="right"/>
      </w:tabs>
    </w:pPr>
  </w:style>
  <w:style w:customStyle="1" w:styleId="FooterChar" w:type="character">
    <w:name w:val="Footer Char"/>
    <w:basedOn w:val="DefaultParagraphFont"/>
    <w:link w:val="Footer"/>
    <w:rsid w:val="00340B9E"/>
  </w:style>
  <w:style w:customStyle="1" w:styleId="APAEnumerated" w:type="paragraph">
    <w:name w:val="APAEnumerated"/>
    <w:basedOn w:val="BodyText"/>
    <w:link w:val="APAEnumeratedChar"/>
    <w:qFormat/>
    <w:rsid w:val="00717963"/>
    <w:pPr>
      <w:numPr>
        <w:numId w:val="1"/>
      </w:numPr>
      <w:ind w:left="792"/>
    </w:pPr>
  </w:style>
  <w:style w:customStyle="1" w:styleId="TitleChar" w:type="character">
    <w:name w:val="Title Char"/>
    <w:basedOn w:val="DefaultParagraphFont"/>
    <w:link w:val="Title"/>
    <w:rsid w:val="00010E42"/>
    <w:rPr>
      <w:b/>
      <w:bCs/>
    </w:rPr>
  </w:style>
  <w:style w:customStyle="1" w:styleId="FigureTitle" w:type="paragraph">
    <w:name w:val="FigureTitle"/>
    <w:basedOn w:val="Figure"/>
    <w:link w:val="FigureTitleChar"/>
    <w:qFormat/>
    <w:rsid w:val="00064E3B"/>
    <w:pPr>
      <w:keepNext/>
      <w:keepLines/>
      <w:spacing w:line="480" w:lineRule="auto"/>
      <w:outlineLvl w:val="0"/>
    </w:pPr>
    <w:rPr>
      <w:b/>
    </w:rPr>
  </w:style>
  <w:style w:customStyle="1" w:styleId="FigureChar" w:type="character">
    <w:name w:val="Figure Char"/>
    <w:basedOn w:val="DefaultParagraphFont"/>
    <w:link w:val="Figure"/>
    <w:rsid w:val="00D630B7"/>
  </w:style>
  <w:style w:customStyle="1" w:styleId="FigureTitleChar" w:type="character">
    <w:name w:val="FigureTitle Char"/>
    <w:basedOn w:val="FigureChar"/>
    <w:link w:val="FigureTitle"/>
    <w:rsid w:val="00064E3B"/>
    <w:rPr>
      <w:b/>
    </w:rPr>
  </w:style>
  <w:style w:customStyle="1" w:styleId="FigureNote" w:type="paragraph">
    <w:name w:val="FigureNote"/>
    <w:basedOn w:val="BodyText"/>
    <w:link w:val="FigureNoteChar"/>
    <w:qFormat/>
    <w:rsid w:val="00A946AC"/>
    <w:pPr>
      <w:spacing w:before="60"/>
      <w:ind w:firstLine="0"/>
    </w:pPr>
  </w:style>
  <w:style w:customStyle="1" w:styleId="FigureNoteChar" w:type="character">
    <w:name w:val="FigureNote Char"/>
    <w:basedOn w:val="BodyTextChar"/>
    <w:link w:val="FigureNote"/>
    <w:rsid w:val="00A946AC"/>
  </w:style>
  <w:style w:customStyle="1" w:styleId="APAEnumeratedChar" w:type="character">
    <w:name w:val="APAEnumerated Char"/>
    <w:basedOn w:val="BodyTextChar"/>
    <w:link w:val="APAEnumerated"/>
    <w:rsid w:val="00717963"/>
  </w:style>
  <w:style w:customStyle="1" w:styleId="FigureWithNote" w:type="paragraph">
    <w:name w:val="FigureWithNote"/>
    <w:basedOn w:val="Figure"/>
    <w:link w:val="FigureWithNoteChar"/>
    <w:qFormat/>
    <w:rsid w:val="00B42EBE"/>
    <w:pPr>
      <w:keepNext/>
    </w:pPr>
  </w:style>
  <w:style w:customStyle="1" w:styleId="FigureWithNoteChar" w:type="character">
    <w:name w:val="FigureWithNote Char"/>
    <w:basedOn w:val="FigureChar"/>
    <w:link w:val="FigureWithNote"/>
    <w:rsid w:val="00B42EBE"/>
  </w:style>
  <w:style w:customStyle="1" w:styleId="FigureWithoutNote" w:type="paragraph">
    <w:name w:val="FigureWithoutNote"/>
    <w:basedOn w:val="Figure"/>
    <w:link w:val="FigureWithoutNoteChar"/>
    <w:qFormat/>
    <w:rsid w:val="00C304F7"/>
    <w:pPr>
      <w:spacing w:after="240"/>
    </w:pPr>
  </w:style>
  <w:style w:customStyle="1" w:styleId="FigureWithoutNoteChar" w:type="character">
    <w:name w:val="FigureWithoutNote Char"/>
    <w:basedOn w:val="FigureChar"/>
    <w:link w:val="FigureWithoutNote"/>
    <w:rsid w:val="00C304F7"/>
  </w:style>
  <w:style w:customStyle="1" w:styleId="AuthorNote" w:type="paragraph">
    <w:name w:val="AuthorNote"/>
    <w:basedOn w:val="Author"/>
    <w:qFormat/>
    <w:rsid w:val="00C84525"/>
    <w:pPr>
      <w:keepNext w:val="0"/>
      <w:keepLines w:val="0"/>
      <w:spacing w:after="0" w:line="480" w:lineRule="auto"/>
      <w:ind w:firstLine="720"/>
      <w:jc w:val="left"/>
    </w:pPr>
  </w:style>
  <w:style w:customStyle="1" w:styleId="AfterWithoutNote" w:type="paragraph">
    <w:name w:val="AfterWithoutNote"/>
    <w:basedOn w:val="BodyText"/>
    <w:link w:val="AfterWithoutNoteChar"/>
    <w:qFormat/>
    <w:rsid w:val="00BB3FEC"/>
    <w:pPr>
      <w:spacing w:before="240"/>
    </w:pPr>
  </w:style>
  <w:style w:customStyle="1" w:styleId="AfterWithoutNoteChar" w:type="character">
    <w:name w:val="AfterWithoutNote Char"/>
    <w:basedOn w:val="BodyTextChar"/>
    <w:link w:val="AfterWithoutNote"/>
    <w:rsid w:val="00BB3FEC"/>
  </w:style>
  <w:style w:customStyle="1" w:styleId="NoIndent" w:type="paragraph">
    <w:name w:val="NoIndent"/>
    <w:basedOn w:val="BodyText"/>
    <w:link w:val="NoIndentChar"/>
    <w:qFormat/>
    <w:rsid w:val="004023D3"/>
    <w:pPr>
      <w:ind w:firstLine="0"/>
    </w:pPr>
  </w:style>
  <w:style w:customStyle="1" w:styleId="NoIndentChar" w:type="character">
    <w:name w:val="NoIndent Char"/>
    <w:basedOn w:val="BodyTextChar"/>
    <w:link w:val="NoIndent"/>
    <w:rsid w:val="004023D3"/>
  </w:style>
  <w:style w:customStyle="1" w:styleId="NextBlockText" w:type="paragraph">
    <w:name w:val="NextBlockText"/>
    <w:basedOn w:val="BlockText"/>
    <w:link w:val="NextBlockTextChar"/>
    <w:qFormat/>
    <w:rsid w:val="00065938"/>
    <w:pPr>
      <w:ind w:firstLine="720"/>
    </w:pPr>
  </w:style>
  <w:style w:customStyle="1" w:styleId="BlockTextChar" w:type="character">
    <w:name w:val="Block Text Char"/>
    <w:basedOn w:val="BodyTextChar"/>
    <w:link w:val="BlockText"/>
    <w:uiPriority w:val="9"/>
    <w:rsid w:val="00065938"/>
  </w:style>
  <w:style w:customStyle="1" w:styleId="NextBlockTextChar" w:type="character">
    <w:name w:val="NextBlockText Char"/>
    <w:basedOn w:val="BlockTextChar"/>
    <w:link w:val="NextBlockText"/>
    <w:rsid w:val="00065938"/>
  </w:style>
  <w:style w:styleId="PlaceholderText" w:type="character">
    <w:name w:val="Placeholder Text"/>
    <w:basedOn w:val="DefaultParagraphFont"/>
    <w:semiHidden/>
    <w:rsid w:val="00BB5C76"/>
    <w:rPr>
      <w:color w:val="666666"/>
    </w:rPr>
  </w:style>
  <w:style w:customStyle="1" w:styleId="H4" w:type="character">
    <w:name w:val="H4"/>
    <w:basedOn w:val="DefaultParagraphFont"/>
    <w:uiPriority w:val="1"/>
    <w:qFormat/>
    <w:rsid w:val="00EA785F"/>
    <w:rPr>
      <w:b/>
    </w:rPr>
  </w:style>
  <w:style w:customStyle="1" w:styleId="H5" w:type="character">
    <w:name w:val="H5"/>
    <w:basedOn w:val="H4"/>
    <w:uiPriority w:val="1"/>
    <w:qFormat/>
    <w:rsid w:val="00EA785F"/>
    <w:rPr>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header3.xml" Type="http://schemas.openxmlformats.org/officeDocument/2006/relationships/header" /><Relationship Id="rId11" Target="header2.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83" Target="media/rId83.png" /><Relationship Type="http://schemas.openxmlformats.org/officeDocument/2006/relationships/image" Id="rId100" Target="media/rId100.png" /><Relationship Type="http://schemas.openxmlformats.org/officeDocument/2006/relationships/image" Id="rId57" Target="media/rId57.png" /><Relationship Type="http://schemas.openxmlformats.org/officeDocument/2006/relationships/image" Id="rId79" Target="media/rId79.png" /><Relationship Type="http://schemas.openxmlformats.org/officeDocument/2006/relationships/image" Id="rId96" Target="media/rId96.png" /><Relationship Type="http://schemas.openxmlformats.org/officeDocument/2006/relationships/image" Id="rId21" Target="media/rId21.svg" /><Relationship Type="http://schemas.openxmlformats.org/officeDocument/2006/relationships/image" Id="rId173" Target="media/rId173.png" /><Relationship Type="http://schemas.openxmlformats.org/officeDocument/2006/relationships/image" Id="rId41" Target="media/rId41.png" /><Relationship Type="http://schemas.openxmlformats.org/officeDocument/2006/relationships/image" Id="rId177" Target="media/rId177.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hyperlink" Id="rId125" Target="https://doi.org/10.1006/jmps.2000.1354" TargetMode="External" /><Relationship Type="http://schemas.openxmlformats.org/officeDocument/2006/relationships/hyperlink" Id="rId112" Target="https://doi.org/10.1016/S0022-5371(72)80001-X" TargetMode="External" /><Relationship Type="http://schemas.openxmlformats.org/officeDocument/2006/relationships/hyperlink" Id="rId165" Target="https://doi.org/10.1016/j.beproc.2023.104843" TargetMode="External" /><Relationship Type="http://schemas.openxmlformats.org/officeDocument/2006/relationships/hyperlink" Id="rId110" Target="https://doi.org/10.1016/j.conb.2007.03.005" TargetMode="External" /><Relationship Type="http://schemas.openxmlformats.org/officeDocument/2006/relationships/hyperlink" Id="rId145" Target="https://doi.org/10.1037/0033-295X.87.6.532" TargetMode="External" /><Relationship Type="http://schemas.openxmlformats.org/officeDocument/2006/relationships/hyperlink" Id="rId152" Target="https://doi.org/10.1037/0097-7403.22.3.321" TargetMode="External" /><Relationship Type="http://schemas.openxmlformats.org/officeDocument/2006/relationships/hyperlink" Id="rId119" Target="https://doi.org/10.1037/a0013685" TargetMode="External" /><Relationship Type="http://schemas.openxmlformats.org/officeDocument/2006/relationships/hyperlink" Id="rId131" Target="https://doi.org/10.1037/a0021384" TargetMode="External" /><Relationship Type="http://schemas.openxmlformats.org/officeDocument/2006/relationships/hyperlink" Id="rId137" Target="https://doi.org/10.1037/bul0000064" TargetMode="External" /><Relationship Type="http://schemas.openxmlformats.org/officeDocument/2006/relationships/hyperlink" Id="rId141" Target="https://doi.org/10.1037/h0076778" TargetMode="External" /><Relationship Type="http://schemas.openxmlformats.org/officeDocument/2006/relationships/hyperlink" Id="rId158" Target="https://doi.org/10.1037/xan0000225" TargetMode="External" /><Relationship Type="http://schemas.openxmlformats.org/officeDocument/2006/relationships/hyperlink" Id="rId156" Target="https://doi.org/10.1037/xan0000314" TargetMode="External" /><Relationship Type="http://schemas.openxmlformats.org/officeDocument/2006/relationships/hyperlink" Id="rId169" Target="https://doi.org/10.1037/xlm0000883" TargetMode="External" /><Relationship Type="http://schemas.openxmlformats.org/officeDocument/2006/relationships/hyperlink" Id="rId143" Target="https://doi.org/10.1038/nn1663" TargetMode="External" /><Relationship Type="http://schemas.openxmlformats.org/officeDocument/2006/relationships/hyperlink" Id="rId154" Target="https://doi.org/10.1068/p281059" TargetMode="External" /><Relationship Type="http://schemas.openxmlformats.org/officeDocument/2006/relationships/hyperlink" Id="rId135" Target="https://doi.org/10.1080/02724990244000179" TargetMode="External" /><Relationship Type="http://schemas.openxmlformats.org/officeDocument/2006/relationships/hyperlink" Id="rId129" Target="https://doi.org/10.1080/02724990344000141" TargetMode="External" /><Relationship Type="http://schemas.openxmlformats.org/officeDocument/2006/relationships/hyperlink" Id="rId108" Target="https://doi.org/10.1080/17470218.2015.1009919" TargetMode="External" /><Relationship Type="http://schemas.openxmlformats.org/officeDocument/2006/relationships/hyperlink" Id="rId139" Target="https://doi.org/10.1080/17470218.2016.1188407" TargetMode="External" /><Relationship Type="http://schemas.openxmlformats.org/officeDocument/2006/relationships/hyperlink" Id="rId121" Target="https://doi.org/10.1080/17470218.2017.1339719" TargetMode="External" /><Relationship Type="http://schemas.openxmlformats.org/officeDocument/2006/relationships/hyperlink" Id="rId114" Target="https://doi.org/10.1080/17470218.2017.1363257" TargetMode="External" /><Relationship Type="http://schemas.openxmlformats.org/officeDocument/2006/relationships/hyperlink" Id="rId127" Target="https://doi.org/10.1111/1467-8721.01254" TargetMode="External" /><Relationship Type="http://schemas.openxmlformats.org/officeDocument/2006/relationships/hyperlink" Id="rId117" Target="https://doi.org/10.1177/0956797611419305" TargetMode="External" /><Relationship Type="http://schemas.openxmlformats.org/officeDocument/2006/relationships/hyperlink" Id="rId163" Target="https://doi.org/10.1177/17470218211019308" TargetMode="External" /><Relationship Type="http://schemas.openxmlformats.org/officeDocument/2006/relationships/hyperlink" Id="rId133" Target="https://doi.org/10.3758/s13420-012-0084-4" TargetMode="External" /><Relationship Type="http://schemas.openxmlformats.org/officeDocument/2006/relationships/hyperlink" Id="rId167" Target="https://doi.org/10.3758/s13423-019-01653-2" TargetMode="External" /><Relationship Type="http://schemas.openxmlformats.org/officeDocument/2006/relationships/hyperlink" Id="rId148" Target="https://doi.org/10.3758/s13428-018-01193-y" TargetMode="External" /><Relationship Type="http://schemas.openxmlformats.org/officeDocument/2006/relationships/hyperlink" Id="rId123" Target="https://www.frontiersin.org/articles/10.3389/fnbeh.2017.00128" TargetMode="External" /><Relationship Type="http://schemas.openxmlformats.org/officeDocument/2006/relationships/hyperlink" Id="rId161" Target="https://www.gbif.org/tool/81287/r-a-language-and-environment-for-statistical-computing" TargetMode="External" /><Relationship Type="http://schemas.openxmlformats.org/officeDocument/2006/relationships/hyperlink" Id="rId150" Target="https://www.semanticscholar.org/paper/A-theory-of-Pavlovian-conditioning-%3A-Variations-in-Rescorla-Wagner/afaf65883ff75cc19926f61f181a687927789ad1" TargetMode="External" /></Relationships>
</file>

<file path=word/_rels/footnotes.xml.rels><?xml version="1.0" encoding="UTF-8"?><Relationships xmlns="http://schemas.openxmlformats.org/package/2006/relationships"><Relationship Type="http://schemas.openxmlformats.org/officeDocument/2006/relationships/hyperlink" Id="rId125" Target="https://doi.org/10.1006/jmps.2000.1354" TargetMode="External" /><Relationship Type="http://schemas.openxmlformats.org/officeDocument/2006/relationships/hyperlink" Id="rId112" Target="https://doi.org/10.1016/S0022-5371(72)80001-X" TargetMode="External" /><Relationship Type="http://schemas.openxmlformats.org/officeDocument/2006/relationships/hyperlink" Id="rId165" Target="https://doi.org/10.1016/j.beproc.2023.104843" TargetMode="External" /><Relationship Type="http://schemas.openxmlformats.org/officeDocument/2006/relationships/hyperlink" Id="rId110" Target="https://doi.org/10.1016/j.conb.2007.03.005" TargetMode="External" /><Relationship Type="http://schemas.openxmlformats.org/officeDocument/2006/relationships/hyperlink" Id="rId145" Target="https://doi.org/10.1037/0033-295X.87.6.532" TargetMode="External" /><Relationship Type="http://schemas.openxmlformats.org/officeDocument/2006/relationships/hyperlink" Id="rId152" Target="https://doi.org/10.1037/0097-7403.22.3.321" TargetMode="External" /><Relationship Type="http://schemas.openxmlformats.org/officeDocument/2006/relationships/hyperlink" Id="rId119" Target="https://doi.org/10.1037/a0013685" TargetMode="External" /><Relationship Type="http://schemas.openxmlformats.org/officeDocument/2006/relationships/hyperlink" Id="rId131" Target="https://doi.org/10.1037/a0021384" TargetMode="External" /><Relationship Type="http://schemas.openxmlformats.org/officeDocument/2006/relationships/hyperlink" Id="rId137" Target="https://doi.org/10.1037/bul0000064" TargetMode="External" /><Relationship Type="http://schemas.openxmlformats.org/officeDocument/2006/relationships/hyperlink" Id="rId141" Target="https://doi.org/10.1037/h0076778" TargetMode="External" /><Relationship Type="http://schemas.openxmlformats.org/officeDocument/2006/relationships/hyperlink" Id="rId158" Target="https://doi.org/10.1037/xan0000225" TargetMode="External" /><Relationship Type="http://schemas.openxmlformats.org/officeDocument/2006/relationships/hyperlink" Id="rId156" Target="https://doi.org/10.1037/xan0000314" TargetMode="External" /><Relationship Type="http://schemas.openxmlformats.org/officeDocument/2006/relationships/hyperlink" Id="rId169" Target="https://doi.org/10.1037/xlm0000883" TargetMode="External" /><Relationship Type="http://schemas.openxmlformats.org/officeDocument/2006/relationships/hyperlink" Id="rId143" Target="https://doi.org/10.1038/nn1663" TargetMode="External" /><Relationship Type="http://schemas.openxmlformats.org/officeDocument/2006/relationships/hyperlink" Id="rId154" Target="https://doi.org/10.1068/p281059" TargetMode="External" /><Relationship Type="http://schemas.openxmlformats.org/officeDocument/2006/relationships/hyperlink" Id="rId135" Target="https://doi.org/10.1080/02724990244000179" TargetMode="External" /><Relationship Type="http://schemas.openxmlformats.org/officeDocument/2006/relationships/hyperlink" Id="rId129" Target="https://doi.org/10.1080/02724990344000141" TargetMode="External" /><Relationship Type="http://schemas.openxmlformats.org/officeDocument/2006/relationships/hyperlink" Id="rId108" Target="https://doi.org/10.1080/17470218.2015.1009919" TargetMode="External" /><Relationship Type="http://schemas.openxmlformats.org/officeDocument/2006/relationships/hyperlink" Id="rId139" Target="https://doi.org/10.1080/17470218.2016.1188407" TargetMode="External" /><Relationship Type="http://schemas.openxmlformats.org/officeDocument/2006/relationships/hyperlink" Id="rId121" Target="https://doi.org/10.1080/17470218.2017.1339719" TargetMode="External" /><Relationship Type="http://schemas.openxmlformats.org/officeDocument/2006/relationships/hyperlink" Id="rId114" Target="https://doi.org/10.1080/17470218.2017.1363257" TargetMode="External" /><Relationship Type="http://schemas.openxmlformats.org/officeDocument/2006/relationships/hyperlink" Id="rId127" Target="https://doi.org/10.1111/1467-8721.01254" TargetMode="External" /><Relationship Type="http://schemas.openxmlformats.org/officeDocument/2006/relationships/hyperlink" Id="rId117" Target="https://doi.org/10.1177/0956797611419305" TargetMode="External" /><Relationship Type="http://schemas.openxmlformats.org/officeDocument/2006/relationships/hyperlink" Id="rId163" Target="https://doi.org/10.1177/17470218211019308" TargetMode="External" /><Relationship Type="http://schemas.openxmlformats.org/officeDocument/2006/relationships/hyperlink" Id="rId133" Target="https://doi.org/10.3758/s13420-012-0084-4" TargetMode="External" /><Relationship Type="http://schemas.openxmlformats.org/officeDocument/2006/relationships/hyperlink" Id="rId167" Target="https://doi.org/10.3758/s13423-019-01653-2" TargetMode="External" /><Relationship Type="http://schemas.openxmlformats.org/officeDocument/2006/relationships/hyperlink" Id="rId148" Target="https://doi.org/10.3758/s13428-018-01193-y" TargetMode="External" /><Relationship Type="http://schemas.openxmlformats.org/officeDocument/2006/relationships/hyperlink" Id="rId123" Target="https://www.frontiersin.org/articles/10.3389/fnbeh.2017.00128" TargetMode="External" /><Relationship Type="http://schemas.openxmlformats.org/officeDocument/2006/relationships/hyperlink" Id="rId161" Target="https://www.gbif.org/tool/81287/r-a-language-and-environment-for-statistical-computing" TargetMode="External" /><Relationship Type="http://schemas.openxmlformats.org/officeDocument/2006/relationships/hyperlink" Id="rId150" Target="https://www.semanticscholar.org/paper/A-theory-of-Pavlovian-conditioning-%3A-Variations-in-Rescorla-Wagner/afaf65883ff75cc19926f61f181a687927789ad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193</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EFFECTS OF UNCERTAINTY ON CUE PROCESSING</dc:description>
  <dc:language>en</dc:language>
  <cp:keywords>Associative Learning, Attention, Uncertainty, Predictiveness, Cue processing</cp:keywords>
  <dcterms:created xsi:type="dcterms:W3CDTF">2024-09-23T10:06:38Z</dcterms:created>
  <dcterms:modified xsi:type="dcterms:W3CDTF">2024-09-23T10:06:38Z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